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91" w:rsidRPr="003E16D5" w:rsidRDefault="00115C3E" w:rsidP="003E16D5">
      <w:pPr>
        <w:spacing w:after="0" w:line="240" w:lineRule="auto"/>
        <w:jc w:val="both"/>
        <w:rPr>
          <w:rFonts w:ascii="Century Gothic" w:hAnsi="Century Gothic"/>
          <w:b/>
          <w:u w:val="single"/>
        </w:rPr>
      </w:pPr>
      <w:bookmarkStart w:id="0" w:name="_GoBack"/>
      <w:bookmarkEnd w:id="0"/>
      <w:r w:rsidRPr="003E16D5">
        <w:rPr>
          <w:rFonts w:ascii="Century Gothic" w:hAnsi="Century Gothic"/>
          <w:b/>
          <w:u w:val="single"/>
        </w:rPr>
        <w:t>Récompenser s</w:t>
      </w:r>
      <w:r w:rsidR="004573A3" w:rsidRPr="003E16D5">
        <w:rPr>
          <w:rFonts w:ascii="Century Gothic" w:hAnsi="Century Gothic"/>
          <w:b/>
          <w:u w:val="single"/>
        </w:rPr>
        <w:t xml:space="preserve">es collaborateurs </w:t>
      </w:r>
      <w:r w:rsidRPr="003E16D5">
        <w:rPr>
          <w:rFonts w:ascii="Century Gothic" w:hAnsi="Century Gothic"/>
          <w:b/>
          <w:u w:val="single"/>
        </w:rPr>
        <w:t xml:space="preserve">à travers </w:t>
      </w:r>
      <w:r w:rsidR="004573A3" w:rsidRPr="003E16D5">
        <w:rPr>
          <w:rFonts w:ascii="Century Gothic" w:hAnsi="Century Gothic"/>
          <w:b/>
          <w:u w:val="single"/>
        </w:rPr>
        <w:t>l’</w:t>
      </w:r>
      <w:r w:rsidRPr="003E16D5">
        <w:rPr>
          <w:rFonts w:ascii="Century Gothic" w:hAnsi="Century Gothic"/>
          <w:b/>
          <w:u w:val="single"/>
        </w:rPr>
        <w:t>é</w:t>
      </w:r>
      <w:r w:rsidR="00215C61" w:rsidRPr="003E16D5">
        <w:rPr>
          <w:rFonts w:ascii="Century Gothic" w:hAnsi="Century Gothic"/>
          <w:b/>
          <w:u w:val="single"/>
        </w:rPr>
        <w:t>pargne salar</w:t>
      </w:r>
      <w:r w:rsidRPr="003E16D5">
        <w:rPr>
          <w:rFonts w:ascii="Century Gothic" w:hAnsi="Century Gothic"/>
          <w:b/>
          <w:u w:val="single"/>
        </w:rPr>
        <w:t>iale, l’a</w:t>
      </w:r>
      <w:r w:rsidR="00215C61" w:rsidRPr="003E16D5">
        <w:rPr>
          <w:rFonts w:ascii="Century Gothic" w:hAnsi="Century Gothic"/>
          <w:b/>
          <w:u w:val="single"/>
        </w:rPr>
        <w:t>ttribution d’actions gratuites &amp;</w:t>
      </w:r>
      <w:r w:rsidRPr="003E16D5">
        <w:rPr>
          <w:rFonts w:ascii="Century Gothic" w:hAnsi="Century Gothic"/>
          <w:b/>
          <w:u w:val="single"/>
        </w:rPr>
        <w:t xml:space="preserve"> la d</w:t>
      </w:r>
      <w:r w:rsidR="009F4D9A" w:rsidRPr="003E16D5">
        <w:rPr>
          <w:rFonts w:ascii="Century Gothic" w:hAnsi="Century Gothic"/>
          <w:b/>
          <w:u w:val="single"/>
        </w:rPr>
        <w:t>onation d’</w:t>
      </w:r>
      <w:r w:rsidR="00FF2066" w:rsidRPr="003E16D5">
        <w:rPr>
          <w:rFonts w:ascii="Century Gothic" w:hAnsi="Century Gothic"/>
          <w:b/>
          <w:u w:val="single"/>
        </w:rPr>
        <w:t>actions ou de parts de s</w:t>
      </w:r>
      <w:r w:rsidR="009F4D9A" w:rsidRPr="003E16D5">
        <w:rPr>
          <w:rFonts w:ascii="Century Gothic" w:hAnsi="Century Gothic"/>
          <w:b/>
          <w:u w:val="single"/>
        </w:rPr>
        <w:t>a société</w:t>
      </w:r>
      <w:r w:rsidR="000A5E94" w:rsidRPr="003E16D5">
        <w:rPr>
          <w:rFonts w:ascii="Century Gothic" w:hAnsi="Century Gothic"/>
          <w:b/>
          <w:u w:val="single"/>
        </w:rPr>
        <w:t xml:space="preserve"> ? </w:t>
      </w:r>
    </w:p>
    <w:p w:rsidR="003E16D5" w:rsidRDefault="003E16D5" w:rsidP="003E16D5">
      <w:pPr>
        <w:spacing w:after="0" w:line="240" w:lineRule="auto"/>
        <w:jc w:val="both"/>
        <w:rPr>
          <w:rFonts w:ascii="Century Gothic" w:hAnsi="Century Gothic"/>
        </w:rPr>
      </w:pPr>
    </w:p>
    <w:p w:rsidR="005B4BD0" w:rsidRPr="003E16D5" w:rsidRDefault="00FF2066" w:rsidP="005B4BD0">
      <w:pPr>
        <w:spacing w:after="0" w:line="240" w:lineRule="auto"/>
        <w:jc w:val="both"/>
        <w:rPr>
          <w:rFonts w:ascii="Century Gothic" w:hAnsi="Century Gothic"/>
        </w:rPr>
      </w:pPr>
      <w:r w:rsidRPr="003E16D5">
        <w:rPr>
          <w:rFonts w:ascii="Century Gothic" w:hAnsi="Century Gothic"/>
        </w:rPr>
        <w:t xml:space="preserve">Depuis 2005, plusieurs lois et décrets sont intervenus dans le domaine de l’épargne salariale et de l’actionnariat salarié, avec un même objectif : permettre le plus large développement de ces dispositifs et faire en sorte qu’un grand nombre de salariés </w:t>
      </w:r>
      <w:r w:rsidR="00F00A11" w:rsidRPr="003E16D5">
        <w:rPr>
          <w:rFonts w:ascii="Century Gothic" w:hAnsi="Century Gothic"/>
        </w:rPr>
        <w:t>puissent y avoir accès.</w:t>
      </w:r>
    </w:p>
    <w:p w:rsidR="005B4BD0" w:rsidRDefault="005B4BD0" w:rsidP="003E16D5">
      <w:pPr>
        <w:spacing w:after="0" w:line="240" w:lineRule="auto"/>
        <w:jc w:val="both"/>
        <w:rPr>
          <w:rFonts w:ascii="Century Gothic" w:hAnsi="Century Gothic"/>
          <w:b/>
          <w:u w:val="single"/>
        </w:rPr>
      </w:pPr>
    </w:p>
    <w:p w:rsidR="005B4BD0" w:rsidRPr="00822920" w:rsidRDefault="005B4BD0" w:rsidP="00822920">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cs="DINPro-Light"/>
          <w:b/>
          <w:color w:val="221E1F"/>
        </w:rPr>
      </w:pPr>
      <w:r w:rsidRPr="003E16D5">
        <w:rPr>
          <w:rFonts w:ascii="Century Gothic" w:hAnsi="Century Gothic" w:cs="DINPro-Light"/>
          <w:b/>
          <w:color w:val="221E1F"/>
        </w:rPr>
        <w:t>Instruments aux enjeux multiples</w:t>
      </w:r>
      <w:r>
        <w:rPr>
          <w:rFonts w:ascii="Century Gothic" w:hAnsi="Century Gothic" w:cs="DINPro-Light"/>
          <w:b/>
          <w:color w:val="221E1F"/>
        </w:rPr>
        <w:t xml:space="preserve"> : </w:t>
      </w:r>
    </w:p>
    <w:p w:rsidR="005B4BD0" w:rsidRPr="005B4BD0" w:rsidRDefault="005B4BD0" w:rsidP="005B4BD0">
      <w:pPr>
        <w:pBdr>
          <w:top w:val="single" w:sz="4" w:space="1" w:color="auto"/>
          <w:left w:val="single" w:sz="4" w:space="4" w:color="auto"/>
          <w:bottom w:val="single" w:sz="4" w:space="1" w:color="auto"/>
          <w:right w:val="single" w:sz="4" w:space="4" w:color="auto"/>
        </w:pBdr>
        <w:spacing w:after="0"/>
        <w:jc w:val="both"/>
        <w:rPr>
          <w:rFonts w:ascii="Century Gothic" w:hAnsi="Century Gothic"/>
        </w:rPr>
      </w:pPr>
      <w:r w:rsidRPr="003E16D5">
        <w:rPr>
          <w:rFonts w:ascii="Century Gothic" w:hAnsi="Century Gothic"/>
        </w:rPr>
        <w:t xml:space="preserve">* </w:t>
      </w:r>
      <w:r w:rsidRPr="005B4BD0">
        <w:rPr>
          <w:rFonts w:ascii="Century Gothic" w:hAnsi="Century Gothic"/>
        </w:rPr>
        <w:t xml:space="preserve">partage de la performance ; </w:t>
      </w:r>
    </w:p>
    <w:p w:rsidR="005B4BD0" w:rsidRPr="005B4BD0" w:rsidRDefault="005B4BD0" w:rsidP="005B4BD0">
      <w:pPr>
        <w:pBdr>
          <w:top w:val="single" w:sz="4" w:space="1" w:color="auto"/>
          <w:left w:val="single" w:sz="4" w:space="4" w:color="auto"/>
          <w:bottom w:val="single" w:sz="4" w:space="1" w:color="auto"/>
          <w:right w:val="single" w:sz="4" w:space="4" w:color="auto"/>
        </w:pBdr>
        <w:spacing w:after="0"/>
        <w:jc w:val="both"/>
        <w:rPr>
          <w:rFonts w:ascii="Century Gothic" w:hAnsi="Century Gothic"/>
        </w:rPr>
      </w:pPr>
      <w:r>
        <w:rPr>
          <w:rFonts w:ascii="Century Gothic" w:hAnsi="Century Gothic"/>
        </w:rPr>
        <w:t xml:space="preserve">* </w:t>
      </w:r>
      <w:r w:rsidRPr="005B4BD0">
        <w:rPr>
          <w:rFonts w:ascii="Century Gothic" w:hAnsi="Century Gothic"/>
        </w:rPr>
        <w:t xml:space="preserve">recruter, fidéliser et motiver ses collaborateurs ; </w:t>
      </w:r>
    </w:p>
    <w:p w:rsidR="005B4BD0" w:rsidRPr="005B4BD0" w:rsidRDefault="005B4BD0" w:rsidP="005B4BD0">
      <w:pPr>
        <w:pBdr>
          <w:top w:val="single" w:sz="4" w:space="1" w:color="auto"/>
          <w:left w:val="single" w:sz="4" w:space="4" w:color="auto"/>
          <w:bottom w:val="single" w:sz="4" w:space="1" w:color="auto"/>
          <w:right w:val="single" w:sz="4" w:space="4" w:color="auto"/>
        </w:pBdr>
        <w:spacing w:after="0"/>
        <w:jc w:val="both"/>
        <w:rPr>
          <w:rFonts w:ascii="Century Gothic" w:hAnsi="Century Gothic"/>
        </w:rPr>
      </w:pPr>
      <w:r>
        <w:rPr>
          <w:rFonts w:ascii="Century Gothic" w:hAnsi="Century Gothic"/>
        </w:rPr>
        <w:t xml:space="preserve">* </w:t>
      </w:r>
      <w:r w:rsidRPr="005B4BD0">
        <w:rPr>
          <w:rFonts w:ascii="Century Gothic" w:hAnsi="Century Gothic"/>
        </w:rPr>
        <w:t>favoriser le dialogue social dans l’entreprise ;</w:t>
      </w:r>
    </w:p>
    <w:p w:rsidR="005B4BD0" w:rsidRPr="005B4BD0" w:rsidRDefault="005B4BD0" w:rsidP="005B4BD0">
      <w:pPr>
        <w:pBdr>
          <w:top w:val="single" w:sz="4" w:space="1" w:color="auto"/>
          <w:left w:val="single" w:sz="4" w:space="4" w:color="auto"/>
          <w:bottom w:val="single" w:sz="4" w:space="1" w:color="auto"/>
          <w:right w:val="single" w:sz="4" w:space="4" w:color="auto"/>
        </w:pBdr>
        <w:spacing w:after="0"/>
        <w:jc w:val="both"/>
        <w:rPr>
          <w:rFonts w:ascii="Century Gothic" w:hAnsi="Century Gothic"/>
        </w:rPr>
      </w:pPr>
      <w:r>
        <w:rPr>
          <w:rFonts w:ascii="Century Gothic" w:hAnsi="Century Gothic"/>
        </w:rPr>
        <w:t xml:space="preserve">* </w:t>
      </w:r>
      <w:r w:rsidRPr="005B4BD0">
        <w:rPr>
          <w:rFonts w:ascii="Century Gothic" w:hAnsi="Century Gothic"/>
        </w:rPr>
        <w:t>instrument de compétitivité ;</w:t>
      </w:r>
    </w:p>
    <w:p w:rsidR="005B4BD0" w:rsidRPr="003E16D5" w:rsidRDefault="005B4BD0" w:rsidP="005B4BD0">
      <w:pPr>
        <w:pBdr>
          <w:top w:val="single" w:sz="4" w:space="1" w:color="auto"/>
          <w:left w:val="single" w:sz="4" w:space="4" w:color="auto"/>
          <w:bottom w:val="single" w:sz="4" w:space="1" w:color="auto"/>
          <w:right w:val="single" w:sz="4" w:space="4" w:color="auto"/>
        </w:pBdr>
        <w:spacing w:after="0"/>
        <w:jc w:val="both"/>
        <w:rPr>
          <w:rFonts w:ascii="Century Gothic" w:hAnsi="Century Gothic"/>
        </w:rPr>
      </w:pPr>
      <w:r>
        <w:rPr>
          <w:rFonts w:ascii="Century Gothic" w:hAnsi="Century Gothic"/>
        </w:rPr>
        <w:t xml:space="preserve">* </w:t>
      </w:r>
      <w:r w:rsidRPr="005B4BD0">
        <w:rPr>
          <w:rFonts w:ascii="Century Gothic" w:hAnsi="Century Gothic"/>
        </w:rPr>
        <w:t>outil de constitution d’épargne pour les salariés.</w:t>
      </w:r>
    </w:p>
    <w:p w:rsidR="005B4BD0" w:rsidRDefault="005B4BD0" w:rsidP="003E16D5">
      <w:pPr>
        <w:spacing w:after="0" w:line="240" w:lineRule="auto"/>
        <w:jc w:val="both"/>
        <w:rPr>
          <w:rFonts w:ascii="Century Gothic" w:hAnsi="Century Gothic"/>
          <w:b/>
          <w:u w:val="single"/>
        </w:rPr>
      </w:pPr>
    </w:p>
    <w:p w:rsidR="00865732" w:rsidRDefault="00F00A11" w:rsidP="003E16D5">
      <w:pPr>
        <w:spacing w:after="0" w:line="240" w:lineRule="auto"/>
        <w:jc w:val="both"/>
        <w:rPr>
          <w:rFonts w:ascii="Century Gothic" w:hAnsi="Century Gothic" w:cs="DINPro-Light"/>
          <w:color w:val="221E1F"/>
        </w:rPr>
      </w:pPr>
      <w:r w:rsidRPr="003E16D5">
        <w:rPr>
          <w:rFonts w:ascii="Century Gothic" w:hAnsi="Century Gothic" w:cs="DINPro-Light"/>
          <w:color w:val="221E1F"/>
        </w:rPr>
        <w:t xml:space="preserve">Malgré une progression des salariés </w:t>
      </w:r>
      <w:r w:rsidR="00945332">
        <w:rPr>
          <w:rFonts w:ascii="Century Gothic" w:hAnsi="Century Gothic" w:cs="DINPro-Light"/>
          <w:color w:val="221E1F"/>
        </w:rPr>
        <w:t xml:space="preserve"> bénéficiant de</w:t>
      </w:r>
      <w:r w:rsidRPr="003E16D5">
        <w:rPr>
          <w:rFonts w:ascii="Century Gothic" w:hAnsi="Century Gothic" w:cs="DINPro-Light"/>
          <w:color w:val="221E1F"/>
        </w:rPr>
        <w:t xml:space="preserve"> </w:t>
      </w:r>
      <w:r w:rsidR="00E76F10" w:rsidRPr="003E16D5">
        <w:rPr>
          <w:rFonts w:ascii="Century Gothic" w:hAnsi="Century Gothic" w:cs="DINPro-Light"/>
          <w:color w:val="221E1F"/>
        </w:rPr>
        <w:t xml:space="preserve">ces </w:t>
      </w:r>
      <w:r w:rsidR="003E16D5">
        <w:rPr>
          <w:rFonts w:ascii="Century Gothic" w:hAnsi="Century Gothic" w:cs="DINPro-Light"/>
        </w:rPr>
        <w:t xml:space="preserve">outils, </w:t>
      </w:r>
      <w:r w:rsidR="00E76F10" w:rsidRPr="003E16D5">
        <w:rPr>
          <w:rFonts w:ascii="Century Gothic" w:hAnsi="Century Gothic" w:cs="DINPro-Light"/>
          <w:color w:val="221E1F"/>
        </w:rPr>
        <w:t xml:space="preserve">ces derniers restent </w:t>
      </w:r>
      <w:r w:rsidRPr="003E16D5">
        <w:rPr>
          <w:rFonts w:ascii="Century Gothic" w:hAnsi="Century Gothic" w:cs="DINPro-Light"/>
          <w:color w:val="221E1F"/>
        </w:rPr>
        <w:t xml:space="preserve">concentrés dans les grandes entreprises. </w:t>
      </w:r>
      <w:r w:rsidR="00746D59" w:rsidRPr="003E16D5">
        <w:rPr>
          <w:rFonts w:ascii="Century Gothic" w:hAnsi="Century Gothic" w:cs="DINPro-Light"/>
          <w:color w:val="221E1F"/>
        </w:rPr>
        <w:t>Pourtant</w:t>
      </w:r>
      <w:r w:rsidR="00E444F5" w:rsidRPr="003E16D5">
        <w:rPr>
          <w:rFonts w:ascii="Century Gothic" w:hAnsi="Century Gothic" w:cs="DINPro-Light"/>
          <w:color w:val="221E1F"/>
        </w:rPr>
        <w:t xml:space="preserve">, </w:t>
      </w:r>
      <w:r w:rsidR="004924C3" w:rsidRPr="003E16D5">
        <w:rPr>
          <w:rFonts w:ascii="Century Gothic" w:hAnsi="Century Gothic" w:cs="DINPro-Light"/>
          <w:color w:val="221E1F"/>
        </w:rPr>
        <w:t xml:space="preserve">ce sont des mécanismes intéressants </w:t>
      </w:r>
      <w:r w:rsidR="003E16D5">
        <w:rPr>
          <w:rFonts w:ascii="Century Gothic" w:hAnsi="Century Gothic" w:cs="DINPro-Light"/>
          <w:color w:val="221E1F"/>
        </w:rPr>
        <w:t xml:space="preserve">qui sont </w:t>
      </w:r>
      <w:r w:rsidR="004924C3" w:rsidRPr="003E16D5">
        <w:rPr>
          <w:rFonts w:ascii="Century Gothic" w:hAnsi="Century Gothic" w:cs="DINPro-Light"/>
          <w:color w:val="221E1F"/>
        </w:rPr>
        <w:t xml:space="preserve">accessibles aux PME. </w:t>
      </w:r>
    </w:p>
    <w:p w:rsidR="001D1561" w:rsidRPr="003E16D5" w:rsidRDefault="001D1561" w:rsidP="003E16D5">
      <w:pPr>
        <w:spacing w:after="0" w:line="240" w:lineRule="auto"/>
        <w:jc w:val="both"/>
        <w:rPr>
          <w:rFonts w:ascii="Century Gothic" w:hAnsi="Century Gothic" w:cs="DINPro-Light"/>
          <w:color w:val="221E1F"/>
        </w:rPr>
      </w:pPr>
    </w:p>
    <w:p w:rsidR="00B97622" w:rsidRPr="003E16D5" w:rsidRDefault="004924C3" w:rsidP="003E16D5">
      <w:pPr>
        <w:spacing w:after="0" w:line="240" w:lineRule="auto"/>
        <w:jc w:val="both"/>
        <w:rPr>
          <w:rFonts w:ascii="Century Gothic" w:hAnsi="Century Gothic" w:cs="DINPro-Light"/>
          <w:color w:val="221E1F"/>
        </w:rPr>
      </w:pPr>
      <w:r w:rsidRPr="003E16D5">
        <w:rPr>
          <w:rFonts w:ascii="Century Gothic" w:hAnsi="Century Gothic" w:cs="DINPro-Light"/>
          <w:color w:val="221E1F"/>
        </w:rPr>
        <w:t>Prenons l’exemple d</w:t>
      </w:r>
      <w:r w:rsidR="005650D5" w:rsidRPr="003E16D5">
        <w:rPr>
          <w:rFonts w:ascii="Century Gothic" w:hAnsi="Century Gothic" w:cs="DINPro-Light"/>
          <w:color w:val="221E1F"/>
        </w:rPr>
        <w:t>e la</w:t>
      </w:r>
      <w:r w:rsidRPr="003E16D5">
        <w:rPr>
          <w:rFonts w:ascii="Century Gothic" w:hAnsi="Century Gothic" w:cs="DINPro-Light"/>
          <w:color w:val="221E1F"/>
        </w:rPr>
        <w:t xml:space="preserve"> </w:t>
      </w:r>
      <w:r w:rsidR="00C36F61" w:rsidRPr="003E16D5">
        <w:rPr>
          <w:rFonts w:ascii="Century Gothic" w:hAnsi="Century Gothic" w:cs="DINPro-Light"/>
          <w:color w:val="221E1F"/>
        </w:rPr>
        <w:t>MENUISERIE</w:t>
      </w:r>
      <w:r w:rsidR="004F3A1B" w:rsidRPr="003E16D5">
        <w:rPr>
          <w:rFonts w:ascii="Century Gothic" w:hAnsi="Century Gothic" w:cs="DINPro-Light"/>
          <w:color w:val="221E1F"/>
        </w:rPr>
        <w:t xml:space="preserve"> </w:t>
      </w:r>
      <w:r w:rsidR="00090A86" w:rsidRPr="003E16D5">
        <w:rPr>
          <w:rFonts w:ascii="Century Gothic" w:hAnsi="Century Gothic" w:cs="DINPro-Light"/>
          <w:color w:val="221E1F"/>
        </w:rPr>
        <w:t>DUPONT</w:t>
      </w:r>
      <w:r w:rsidR="00B97622" w:rsidRPr="003E16D5">
        <w:rPr>
          <w:rFonts w:ascii="Century Gothic" w:hAnsi="Century Gothic" w:cs="DINPro-Light"/>
          <w:color w:val="221E1F"/>
        </w:rPr>
        <w:t xml:space="preserve">, SASU </w:t>
      </w:r>
      <w:r w:rsidR="005650D5" w:rsidRPr="003E16D5">
        <w:rPr>
          <w:rFonts w:ascii="Century Gothic" w:hAnsi="Century Gothic" w:cs="DINPro-Light"/>
          <w:color w:val="221E1F"/>
        </w:rPr>
        <w:t>spécialisée dans le secteur d'activité des tra</w:t>
      </w:r>
      <w:r w:rsidR="004F3A1B" w:rsidRPr="003E16D5">
        <w:rPr>
          <w:rFonts w:ascii="Century Gothic" w:hAnsi="Century Gothic" w:cs="DINPro-Light"/>
          <w:color w:val="221E1F"/>
        </w:rPr>
        <w:t>vaux de menuiserie bois et pvc</w:t>
      </w:r>
      <w:r w:rsidR="007A3003">
        <w:rPr>
          <w:rFonts w:ascii="Century Gothic" w:hAnsi="Century Gothic" w:cs="DINPro-Light"/>
          <w:color w:val="221E1F"/>
        </w:rPr>
        <w:t xml:space="preserve"> évaluée </w:t>
      </w:r>
      <w:r w:rsidR="00C501B5">
        <w:rPr>
          <w:rFonts w:ascii="Century Gothic" w:hAnsi="Century Gothic" w:cs="DINPro-Light"/>
          <w:color w:val="221E1F"/>
        </w:rPr>
        <w:t xml:space="preserve">aujourd’hui </w:t>
      </w:r>
      <w:r w:rsidR="007A3003">
        <w:rPr>
          <w:rFonts w:ascii="Century Gothic" w:hAnsi="Century Gothic" w:cs="DINPro-Light"/>
          <w:color w:val="221E1F"/>
        </w:rPr>
        <w:t>à 1 </w:t>
      </w:r>
      <w:r w:rsidR="00B97FE4">
        <w:rPr>
          <w:rFonts w:ascii="Century Gothic" w:hAnsi="Century Gothic" w:cs="DINPro-Light"/>
          <w:color w:val="221E1F"/>
        </w:rPr>
        <w:t>0</w:t>
      </w:r>
      <w:r w:rsidR="007A3003">
        <w:rPr>
          <w:rFonts w:ascii="Century Gothic" w:hAnsi="Century Gothic" w:cs="DINPro-Light"/>
          <w:color w:val="221E1F"/>
        </w:rPr>
        <w:t>00 000 €</w:t>
      </w:r>
      <w:r w:rsidR="004F3A1B" w:rsidRPr="003E16D5">
        <w:rPr>
          <w:rFonts w:ascii="Century Gothic" w:hAnsi="Century Gothic" w:cs="DINPro-Light"/>
          <w:color w:val="221E1F"/>
        </w:rPr>
        <w:t>, créé</w:t>
      </w:r>
      <w:r w:rsidR="00945332">
        <w:rPr>
          <w:rFonts w:ascii="Century Gothic" w:hAnsi="Century Gothic" w:cs="DINPro-Light"/>
          <w:color w:val="221E1F"/>
        </w:rPr>
        <w:t>e</w:t>
      </w:r>
      <w:r w:rsidR="004F3A1B" w:rsidRPr="003E16D5">
        <w:rPr>
          <w:rFonts w:ascii="Century Gothic" w:hAnsi="Century Gothic" w:cs="DINPro-Light"/>
          <w:color w:val="221E1F"/>
        </w:rPr>
        <w:t xml:space="preserve"> </w:t>
      </w:r>
      <w:r w:rsidR="00090A86" w:rsidRPr="003E16D5">
        <w:rPr>
          <w:rFonts w:ascii="Century Gothic" w:hAnsi="Century Gothic" w:cs="DINPro-Light"/>
          <w:color w:val="221E1F"/>
        </w:rPr>
        <w:t>par M. Yves DUPONT</w:t>
      </w:r>
      <w:r w:rsidR="00B97622" w:rsidRPr="003E16D5">
        <w:rPr>
          <w:rFonts w:ascii="Century Gothic" w:hAnsi="Century Gothic" w:cs="DINPro-Light"/>
          <w:color w:val="221E1F"/>
        </w:rPr>
        <w:t>,</w:t>
      </w:r>
      <w:r w:rsidR="004F3A1B" w:rsidRPr="003E16D5">
        <w:rPr>
          <w:rFonts w:ascii="Century Gothic" w:hAnsi="Century Gothic" w:cs="DINPro-Light"/>
          <w:color w:val="221E1F"/>
        </w:rPr>
        <w:t xml:space="preserve"> président, il y a plus de 30 ans.</w:t>
      </w:r>
      <w:r w:rsidR="00DF57AA" w:rsidRPr="003E16D5">
        <w:rPr>
          <w:rFonts w:ascii="Century Gothic" w:hAnsi="Century Gothic" w:cs="DINPro-Light"/>
          <w:color w:val="221E1F"/>
        </w:rPr>
        <w:t xml:space="preserve"> </w:t>
      </w:r>
    </w:p>
    <w:p w:rsidR="00822920" w:rsidRDefault="00822920" w:rsidP="003E16D5">
      <w:pPr>
        <w:spacing w:after="0" w:line="240" w:lineRule="auto"/>
        <w:jc w:val="both"/>
        <w:rPr>
          <w:rFonts w:ascii="Century Gothic" w:hAnsi="Century Gothic" w:cs="DINPro-Light"/>
          <w:color w:val="221E1F"/>
        </w:rPr>
      </w:pPr>
    </w:p>
    <w:p w:rsidR="002B252A" w:rsidRPr="003E16D5" w:rsidRDefault="00DF57AA" w:rsidP="003E16D5">
      <w:pPr>
        <w:spacing w:after="0" w:line="240" w:lineRule="auto"/>
        <w:jc w:val="both"/>
        <w:rPr>
          <w:rFonts w:ascii="Century Gothic" w:hAnsi="Century Gothic" w:cs="DINPro-Light"/>
          <w:color w:val="221E1F"/>
        </w:rPr>
      </w:pPr>
      <w:r w:rsidRPr="003E16D5">
        <w:rPr>
          <w:rFonts w:ascii="Century Gothic" w:hAnsi="Century Gothic" w:cs="DINPro-Light"/>
          <w:color w:val="221E1F"/>
        </w:rPr>
        <w:t>La SAS</w:t>
      </w:r>
      <w:r w:rsidR="00945332">
        <w:rPr>
          <w:rFonts w:ascii="Century Gothic" w:hAnsi="Century Gothic" w:cs="DINPro-Light"/>
          <w:color w:val="221E1F"/>
        </w:rPr>
        <w:t>U</w:t>
      </w:r>
      <w:r w:rsidRPr="003E16D5">
        <w:rPr>
          <w:rFonts w:ascii="Century Gothic" w:hAnsi="Century Gothic" w:cs="DINPro-Light"/>
          <w:color w:val="221E1F"/>
        </w:rPr>
        <w:t xml:space="preserve"> emploie à ce jour 12 salariés</w:t>
      </w:r>
      <w:r w:rsidR="0093611B" w:rsidRPr="003E16D5">
        <w:rPr>
          <w:rFonts w:ascii="Century Gothic" w:hAnsi="Century Gothic" w:cs="DINPro-Light"/>
          <w:color w:val="221E1F"/>
        </w:rPr>
        <w:t> : 3</w:t>
      </w:r>
      <w:r w:rsidR="00CD5B16" w:rsidRPr="003E16D5">
        <w:rPr>
          <w:rFonts w:ascii="Century Gothic" w:hAnsi="Century Gothic" w:cs="DINPro-Light"/>
          <w:color w:val="221E1F"/>
        </w:rPr>
        <w:t xml:space="preserve"> apprentis, </w:t>
      </w:r>
      <w:r w:rsidR="0093611B" w:rsidRPr="003E16D5">
        <w:rPr>
          <w:rFonts w:ascii="Century Gothic" w:hAnsi="Century Gothic" w:cs="DINPro-Light"/>
          <w:color w:val="221E1F"/>
        </w:rPr>
        <w:t>1 secrétaire, 3 manœuvre</w:t>
      </w:r>
      <w:r w:rsidR="00DE7500" w:rsidRPr="003E16D5">
        <w:rPr>
          <w:rFonts w:ascii="Century Gothic" w:hAnsi="Century Gothic" w:cs="DINPro-Light"/>
          <w:color w:val="221E1F"/>
        </w:rPr>
        <w:t>s</w:t>
      </w:r>
      <w:r w:rsidR="0093611B" w:rsidRPr="003E16D5">
        <w:rPr>
          <w:rFonts w:ascii="Century Gothic" w:hAnsi="Century Gothic" w:cs="DINPro-Light"/>
          <w:color w:val="221E1F"/>
        </w:rPr>
        <w:t xml:space="preserve"> aide-menuisier</w:t>
      </w:r>
      <w:r w:rsidR="00945332">
        <w:rPr>
          <w:rFonts w:ascii="Century Gothic" w:hAnsi="Century Gothic" w:cs="DINPro-Light"/>
          <w:color w:val="221E1F"/>
        </w:rPr>
        <w:t>s</w:t>
      </w:r>
      <w:r w:rsidR="0093611B" w:rsidRPr="003E16D5">
        <w:rPr>
          <w:rFonts w:ascii="Century Gothic" w:hAnsi="Century Gothic" w:cs="DINPro-Light"/>
          <w:color w:val="221E1F"/>
        </w:rPr>
        <w:t>, 3</w:t>
      </w:r>
      <w:r w:rsidR="00CD5B16" w:rsidRPr="003E16D5">
        <w:rPr>
          <w:rFonts w:ascii="Century Gothic" w:hAnsi="Century Gothic" w:cs="DINPro-Light"/>
          <w:color w:val="221E1F"/>
        </w:rPr>
        <w:t xml:space="preserve"> menuisiers agenceurs poseurs, </w:t>
      </w:r>
      <w:r w:rsidR="0093611B" w:rsidRPr="003E16D5">
        <w:rPr>
          <w:rFonts w:ascii="Century Gothic" w:hAnsi="Century Gothic" w:cs="DINPro-Light"/>
          <w:color w:val="221E1F"/>
        </w:rPr>
        <w:t xml:space="preserve">1 </w:t>
      </w:r>
      <w:r w:rsidR="00CD5B16" w:rsidRPr="003E16D5">
        <w:rPr>
          <w:rFonts w:ascii="Century Gothic" w:hAnsi="Century Gothic" w:cs="DINPro-Light"/>
          <w:color w:val="221E1F"/>
        </w:rPr>
        <w:t>maître-ouvrier</w:t>
      </w:r>
      <w:r w:rsidR="00945332">
        <w:rPr>
          <w:rFonts w:ascii="Century Gothic" w:hAnsi="Century Gothic" w:cs="DINPro-Light"/>
          <w:color w:val="221E1F"/>
        </w:rPr>
        <w:t>,</w:t>
      </w:r>
      <w:r w:rsidR="00CD5B16" w:rsidRPr="003E16D5">
        <w:rPr>
          <w:rFonts w:ascii="Century Gothic" w:hAnsi="Century Gothic" w:cs="DINPro-Light"/>
          <w:color w:val="221E1F"/>
        </w:rPr>
        <w:t xml:space="preserve"> </w:t>
      </w:r>
      <w:r w:rsidR="0093611B" w:rsidRPr="003E16D5">
        <w:rPr>
          <w:rFonts w:ascii="Century Gothic" w:hAnsi="Century Gothic" w:cs="DINPro-Light"/>
          <w:color w:val="221E1F"/>
        </w:rPr>
        <w:t>Guy</w:t>
      </w:r>
      <w:r w:rsidR="00945332">
        <w:rPr>
          <w:rFonts w:ascii="Century Gothic" w:hAnsi="Century Gothic" w:cs="DINPro-Light"/>
          <w:color w:val="221E1F"/>
        </w:rPr>
        <w:t>,</w:t>
      </w:r>
      <w:r w:rsidR="0093611B" w:rsidRPr="003E16D5">
        <w:rPr>
          <w:rFonts w:ascii="Century Gothic" w:hAnsi="Century Gothic" w:cs="DINPro-Light"/>
          <w:color w:val="221E1F"/>
        </w:rPr>
        <w:t xml:space="preserve"> </w:t>
      </w:r>
      <w:r w:rsidR="00CD5B16" w:rsidRPr="003E16D5">
        <w:rPr>
          <w:rFonts w:ascii="Century Gothic" w:hAnsi="Century Gothic" w:cs="DINPro-Light"/>
          <w:color w:val="221E1F"/>
        </w:rPr>
        <w:t xml:space="preserve">qui réalise les travaux les plus délicats et </w:t>
      </w:r>
      <w:r w:rsidR="0093611B" w:rsidRPr="003E16D5">
        <w:rPr>
          <w:rFonts w:ascii="Century Gothic" w:hAnsi="Century Gothic" w:cs="DINPro-Light"/>
          <w:color w:val="221E1F"/>
        </w:rPr>
        <w:t xml:space="preserve">1 </w:t>
      </w:r>
      <w:r w:rsidR="00CD5B16" w:rsidRPr="003E16D5">
        <w:rPr>
          <w:rFonts w:ascii="Century Gothic" w:hAnsi="Century Gothic" w:cs="DINPro-Light"/>
          <w:color w:val="221E1F"/>
        </w:rPr>
        <w:t>chef d’équipe</w:t>
      </w:r>
      <w:r w:rsidR="00945332">
        <w:rPr>
          <w:rFonts w:ascii="Century Gothic" w:hAnsi="Century Gothic" w:cs="DINPro-Light"/>
          <w:color w:val="221E1F"/>
        </w:rPr>
        <w:t>,</w:t>
      </w:r>
      <w:r w:rsidR="0093611B" w:rsidRPr="003E16D5">
        <w:rPr>
          <w:rFonts w:ascii="Century Gothic" w:hAnsi="Century Gothic" w:cs="DINPro-Light"/>
          <w:color w:val="221E1F"/>
        </w:rPr>
        <w:t xml:space="preserve"> Claude</w:t>
      </w:r>
      <w:r w:rsidR="00945332">
        <w:rPr>
          <w:rFonts w:ascii="Century Gothic" w:hAnsi="Century Gothic" w:cs="DINPro-Light"/>
          <w:color w:val="221E1F"/>
        </w:rPr>
        <w:t>,</w:t>
      </w:r>
      <w:r w:rsidR="00CD5B16" w:rsidRPr="003E16D5">
        <w:rPr>
          <w:rFonts w:ascii="Century Gothic" w:hAnsi="Century Gothic" w:cs="DINPro-Light"/>
          <w:color w:val="221E1F"/>
        </w:rPr>
        <w:t xml:space="preserve"> qui assure</w:t>
      </w:r>
      <w:r w:rsidR="00F24EFE" w:rsidRPr="003E16D5">
        <w:rPr>
          <w:rFonts w:ascii="Century Gothic" w:hAnsi="Century Gothic" w:cs="DINPro-Light"/>
          <w:color w:val="221E1F"/>
        </w:rPr>
        <w:t xml:space="preserve"> </w:t>
      </w:r>
      <w:r w:rsidR="00CD5B16" w:rsidRPr="003E16D5">
        <w:rPr>
          <w:rFonts w:ascii="Century Gothic" w:hAnsi="Century Gothic" w:cs="DINPro-Light"/>
          <w:color w:val="221E1F"/>
        </w:rPr>
        <w:t xml:space="preserve">de manière permanente la conduite et l’animation d’une équipe. </w:t>
      </w:r>
      <w:r w:rsidR="001D1561">
        <w:rPr>
          <w:rFonts w:ascii="Century Gothic" w:hAnsi="Century Gothic" w:cs="DINPro-Light"/>
          <w:color w:val="221E1F"/>
        </w:rPr>
        <w:t xml:space="preserve">L’entreprise est en pleine croissance et Monsieur DUPONT souhaite anticiper la transmission de son entreprise. Il a deux enfants qui ne sont pas intéressés par la reprise de l’activité. Monsieur DUPONT, très attaché à la pérennité de son entreprise, </w:t>
      </w:r>
      <w:r w:rsidR="008731C5">
        <w:rPr>
          <w:rFonts w:ascii="Century Gothic" w:hAnsi="Century Gothic" w:cs="DINPro-Light"/>
          <w:color w:val="221E1F"/>
        </w:rPr>
        <w:t>envisage afin de motiver les salariés à la reprise de la structure</w:t>
      </w:r>
      <w:r w:rsidR="001D1561">
        <w:rPr>
          <w:rFonts w:ascii="Century Gothic" w:hAnsi="Century Gothic" w:cs="DINPro-Light"/>
          <w:color w:val="221E1F"/>
        </w:rPr>
        <w:t xml:space="preserve"> de</w:t>
      </w:r>
      <w:r w:rsidR="00555074">
        <w:rPr>
          <w:rFonts w:ascii="Century Gothic" w:hAnsi="Century Gothic" w:cs="DINPro-Light"/>
          <w:color w:val="221E1F"/>
        </w:rPr>
        <w:t xml:space="preserve"> leur</w:t>
      </w:r>
      <w:r w:rsidR="001D1561">
        <w:rPr>
          <w:rFonts w:ascii="Century Gothic" w:hAnsi="Century Gothic" w:cs="DINPro-Light"/>
          <w:color w:val="221E1F"/>
        </w:rPr>
        <w:t xml:space="preserve"> céder la société </w:t>
      </w:r>
      <w:r w:rsidR="00555074">
        <w:rPr>
          <w:rFonts w:ascii="Century Gothic" w:hAnsi="Century Gothic" w:cs="DINPro-Light"/>
          <w:color w:val="221E1F"/>
        </w:rPr>
        <w:t>dans</w:t>
      </w:r>
      <w:r w:rsidR="005F2DC9">
        <w:rPr>
          <w:rFonts w:ascii="Century Gothic" w:hAnsi="Century Gothic" w:cs="DINPro-Light"/>
          <w:color w:val="221E1F"/>
        </w:rPr>
        <w:t xml:space="preserve"> d</w:t>
      </w:r>
      <w:r w:rsidR="001D1561">
        <w:rPr>
          <w:rFonts w:ascii="Century Gothic" w:hAnsi="Century Gothic" w:cs="DINPro-Light"/>
          <w:color w:val="221E1F"/>
        </w:rPr>
        <w:t xml:space="preserve">es conditions avantageuses pour tous. </w:t>
      </w:r>
      <w:r w:rsidR="00120A82">
        <w:rPr>
          <w:rFonts w:ascii="Century Gothic" w:hAnsi="Century Gothic" w:cs="DINPro-Light"/>
          <w:color w:val="221E1F"/>
        </w:rPr>
        <w:t>Il sera alors conseillé à Monsieur DUPONT de récompenser ses salariés en améliorant leur système de rémunération, et d’avantager le potentiel salarié repreneur avec l’attribution d’action</w:t>
      </w:r>
      <w:r w:rsidR="00653509">
        <w:rPr>
          <w:rFonts w:ascii="Century Gothic" w:hAnsi="Century Gothic" w:cs="DINPro-Light"/>
          <w:color w:val="221E1F"/>
        </w:rPr>
        <w:t>s</w:t>
      </w:r>
      <w:r w:rsidR="00120A82">
        <w:rPr>
          <w:rFonts w:ascii="Century Gothic" w:hAnsi="Century Gothic" w:cs="DINPro-Light"/>
          <w:color w:val="221E1F"/>
        </w:rPr>
        <w:t xml:space="preserve"> gratuite</w:t>
      </w:r>
      <w:r w:rsidR="00653509">
        <w:rPr>
          <w:rFonts w:ascii="Century Gothic" w:hAnsi="Century Gothic" w:cs="DINPro-Light"/>
          <w:color w:val="221E1F"/>
        </w:rPr>
        <w:t>s</w:t>
      </w:r>
      <w:r w:rsidR="00120A82">
        <w:rPr>
          <w:rFonts w:ascii="Century Gothic" w:hAnsi="Century Gothic" w:cs="DINPro-Light"/>
          <w:color w:val="221E1F"/>
        </w:rPr>
        <w:t xml:space="preserve"> et une donation de titres. </w:t>
      </w:r>
    </w:p>
    <w:p w:rsidR="00090A86" w:rsidRPr="003E16D5" w:rsidRDefault="00090A86" w:rsidP="003E16D5">
      <w:pPr>
        <w:spacing w:after="0" w:line="240" w:lineRule="auto"/>
        <w:jc w:val="both"/>
        <w:rPr>
          <w:rFonts w:ascii="Century Gothic" w:hAnsi="Century Gothic" w:cs="DINPro-Light"/>
          <w:color w:val="221E1F"/>
        </w:rPr>
      </w:pPr>
    </w:p>
    <w:p w:rsidR="003E16D5" w:rsidRPr="003E16D5" w:rsidRDefault="003E16D5" w:rsidP="003E16D5">
      <w:pPr>
        <w:spacing w:after="0" w:line="240" w:lineRule="auto"/>
        <w:jc w:val="both"/>
        <w:rPr>
          <w:rFonts w:ascii="Century Gothic" w:hAnsi="Century Gothic" w:cs="DINPro-Light"/>
          <w:color w:val="221E1F"/>
        </w:rPr>
      </w:pPr>
    </w:p>
    <w:p w:rsidR="00F00A11" w:rsidRPr="00822920" w:rsidRDefault="00F00A11" w:rsidP="00822920">
      <w:pPr>
        <w:pStyle w:val="Paragraphedeliste"/>
        <w:numPr>
          <w:ilvl w:val="0"/>
          <w:numId w:val="13"/>
        </w:numPr>
        <w:spacing w:after="0" w:line="240" w:lineRule="auto"/>
        <w:jc w:val="both"/>
        <w:rPr>
          <w:rFonts w:ascii="Century Gothic" w:hAnsi="Century Gothic" w:cs="DINPro-Light"/>
          <w:b/>
        </w:rPr>
      </w:pPr>
      <w:r w:rsidRPr="00822920">
        <w:rPr>
          <w:rFonts w:ascii="Century Gothic" w:hAnsi="Century Gothic" w:cs="DINPro-Light"/>
          <w:b/>
        </w:rPr>
        <w:t>EPARGNE SALARIALE</w:t>
      </w:r>
    </w:p>
    <w:p w:rsidR="005F2DC9" w:rsidRPr="00822920" w:rsidRDefault="005F2DC9" w:rsidP="00822920">
      <w:pPr>
        <w:pStyle w:val="Paragraphedeliste"/>
        <w:spacing w:after="0" w:line="240" w:lineRule="auto"/>
        <w:jc w:val="both"/>
        <w:rPr>
          <w:rFonts w:ascii="Century Gothic" w:hAnsi="Century Gothic" w:cs="DINPro-Light"/>
        </w:rPr>
      </w:pPr>
    </w:p>
    <w:p w:rsidR="00090A86" w:rsidRPr="003E16D5" w:rsidRDefault="00090A86" w:rsidP="003E16D5">
      <w:pPr>
        <w:autoSpaceDE w:val="0"/>
        <w:autoSpaceDN w:val="0"/>
        <w:adjustRightInd w:val="0"/>
        <w:spacing w:after="0" w:line="240" w:lineRule="auto"/>
        <w:jc w:val="both"/>
        <w:rPr>
          <w:rFonts w:ascii="Century Gothic" w:hAnsi="Century Gothic" w:cs="DINPro-Light"/>
          <w:color w:val="221E1F"/>
        </w:rPr>
      </w:pPr>
      <w:r w:rsidRPr="003E16D5">
        <w:rPr>
          <w:rFonts w:ascii="Century Gothic" w:hAnsi="Century Gothic" w:cs="DINPro-Light"/>
          <w:color w:val="221E1F"/>
        </w:rPr>
        <w:t xml:space="preserve">L’épargne salariale permet à M. DUPONT de répondre à ses objectifs, dans un cadre fiscal et social avantageux pour l’entreprise et les bénéficiaires. </w:t>
      </w:r>
    </w:p>
    <w:p w:rsidR="00090A86" w:rsidRPr="003E16D5" w:rsidRDefault="00090A86" w:rsidP="003E16D5">
      <w:pPr>
        <w:autoSpaceDE w:val="0"/>
        <w:autoSpaceDN w:val="0"/>
        <w:adjustRightInd w:val="0"/>
        <w:spacing w:after="0" w:line="240" w:lineRule="auto"/>
        <w:jc w:val="both"/>
        <w:rPr>
          <w:rFonts w:ascii="Century Gothic" w:hAnsi="Century Gothic" w:cs="DINPro-Light"/>
          <w:color w:val="221E1F"/>
        </w:rPr>
      </w:pPr>
    </w:p>
    <w:p w:rsidR="00AA740E" w:rsidRPr="003E16D5" w:rsidRDefault="003E16D5" w:rsidP="003E16D5">
      <w:pPr>
        <w:autoSpaceDE w:val="0"/>
        <w:autoSpaceDN w:val="0"/>
        <w:adjustRightInd w:val="0"/>
        <w:spacing w:after="0" w:line="240" w:lineRule="auto"/>
        <w:jc w:val="both"/>
        <w:rPr>
          <w:rFonts w:ascii="Century Gothic" w:hAnsi="Century Gothic" w:cs="DINPro-Light"/>
          <w:color w:val="221E1F"/>
        </w:rPr>
      </w:pPr>
      <w:r>
        <w:rPr>
          <w:rFonts w:ascii="Century Gothic" w:hAnsi="Century Gothic" w:cs="DINPro-Light"/>
          <w:color w:val="221E1F"/>
        </w:rPr>
        <w:t>Elle</w:t>
      </w:r>
      <w:r w:rsidR="00AA740E" w:rsidRPr="003E16D5">
        <w:rPr>
          <w:rFonts w:ascii="Century Gothic" w:hAnsi="Century Gothic" w:cs="DINPro-Light"/>
          <w:color w:val="221E1F"/>
        </w:rPr>
        <w:t xml:space="preserve"> recouvre un ensemble de dispositifs dont l’objectif est d’associer les salariés aux résultats de leur entreprise et de favoriser l’épargne collective (intéressement, participation, plan</w:t>
      </w:r>
      <w:r w:rsidR="00CB00BD" w:rsidRPr="003E16D5">
        <w:rPr>
          <w:rFonts w:ascii="Century Gothic" w:hAnsi="Century Gothic" w:cs="DINPro-Light"/>
          <w:color w:val="221E1F"/>
        </w:rPr>
        <w:t xml:space="preserve"> d’épargne entreprise PEE, plan </w:t>
      </w:r>
      <w:r w:rsidR="00AA740E" w:rsidRPr="003E16D5">
        <w:rPr>
          <w:rFonts w:ascii="Century Gothic" w:hAnsi="Century Gothic" w:cs="DINPro-Light"/>
          <w:color w:val="221E1F"/>
        </w:rPr>
        <w:t xml:space="preserve">d’épargne pour la retraite collectif PERCO). </w:t>
      </w:r>
    </w:p>
    <w:p w:rsidR="004E7450" w:rsidRPr="003E16D5" w:rsidRDefault="004E7450" w:rsidP="003E16D5">
      <w:pPr>
        <w:autoSpaceDE w:val="0"/>
        <w:autoSpaceDN w:val="0"/>
        <w:adjustRightInd w:val="0"/>
        <w:spacing w:after="0" w:line="240" w:lineRule="auto"/>
        <w:jc w:val="both"/>
        <w:rPr>
          <w:rFonts w:ascii="Century Gothic" w:hAnsi="Century Gothic" w:cs="DINPro-Light"/>
          <w:color w:val="221E1F"/>
        </w:rPr>
      </w:pPr>
    </w:p>
    <w:p w:rsidR="006A40E7" w:rsidRPr="003E16D5" w:rsidRDefault="006A40E7" w:rsidP="003E16D5">
      <w:pPr>
        <w:autoSpaceDE w:val="0"/>
        <w:autoSpaceDN w:val="0"/>
        <w:adjustRightInd w:val="0"/>
        <w:spacing w:after="0" w:line="240" w:lineRule="auto"/>
        <w:jc w:val="both"/>
        <w:rPr>
          <w:rFonts w:ascii="Century Gothic" w:hAnsi="Century Gothic" w:cs="DINPro-Light"/>
          <w:color w:val="221E1F"/>
        </w:rPr>
      </w:pPr>
      <w:r w:rsidRPr="003E16D5">
        <w:rPr>
          <w:rFonts w:ascii="Century Gothic" w:hAnsi="Century Gothic" w:cs="DINPro-Light"/>
          <w:color w:val="221E1F"/>
        </w:rPr>
        <w:t>M. DUPONT souhaite</w:t>
      </w:r>
      <w:r w:rsidR="00F622EA">
        <w:rPr>
          <w:rFonts w:ascii="Century Gothic" w:hAnsi="Century Gothic" w:cs="DINPro-Light"/>
          <w:color w:val="221E1F"/>
        </w:rPr>
        <w:t xml:space="preserve"> </w:t>
      </w:r>
      <w:r w:rsidR="00053639">
        <w:rPr>
          <w:rFonts w:ascii="Century Gothic" w:hAnsi="Century Gothic" w:cs="DINPro-Light"/>
          <w:color w:val="221E1F"/>
        </w:rPr>
        <w:t>encourager</w:t>
      </w:r>
      <w:r w:rsidRPr="003E16D5">
        <w:rPr>
          <w:rFonts w:ascii="Century Gothic" w:hAnsi="Century Gothic" w:cs="DINPro-Light"/>
          <w:color w:val="221E1F"/>
        </w:rPr>
        <w:t xml:space="preserve"> la croissance de son entreprise</w:t>
      </w:r>
      <w:r w:rsidR="004F07D4" w:rsidRPr="003E16D5">
        <w:rPr>
          <w:rFonts w:ascii="Century Gothic" w:hAnsi="Century Gothic" w:cs="DINPro-Light"/>
          <w:color w:val="221E1F"/>
        </w:rPr>
        <w:t xml:space="preserve">. </w:t>
      </w:r>
    </w:p>
    <w:p w:rsidR="00AA740E" w:rsidRPr="003E16D5" w:rsidRDefault="00DD3A50" w:rsidP="003E16D5">
      <w:pPr>
        <w:autoSpaceDE w:val="0"/>
        <w:autoSpaceDN w:val="0"/>
        <w:adjustRightInd w:val="0"/>
        <w:spacing w:after="0" w:line="240" w:lineRule="auto"/>
        <w:jc w:val="both"/>
        <w:rPr>
          <w:rFonts w:ascii="Century Gothic" w:hAnsi="Century Gothic" w:cs="DINPro-Light"/>
          <w:color w:val="221E1F"/>
        </w:rPr>
      </w:pPr>
      <w:r w:rsidRPr="003E16D5">
        <w:rPr>
          <w:rFonts w:ascii="Century Gothic" w:hAnsi="Century Gothic" w:cs="DINPro-Light"/>
          <w:color w:val="221E1F"/>
        </w:rPr>
        <w:t>L'intéressement est sans doute le dispositif qui reflète le mieux la philosophie de l'épar</w:t>
      </w:r>
      <w:r w:rsidR="00F758D0" w:rsidRPr="003E16D5">
        <w:rPr>
          <w:rFonts w:ascii="Century Gothic" w:hAnsi="Century Gothic" w:cs="DINPro-Light"/>
          <w:color w:val="221E1F"/>
        </w:rPr>
        <w:t xml:space="preserve">gne salariale en associant les salariés aux résultats de l’entreprise en fonction d’objectifs préalablement définis. </w:t>
      </w:r>
    </w:p>
    <w:p w:rsidR="000A6B33" w:rsidRPr="003E16D5" w:rsidRDefault="000A6B33" w:rsidP="003E16D5">
      <w:pPr>
        <w:autoSpaceDE w:val="0"/>
        <w:autoSpaceDN w:val="0"/>
        <w:adjustRightInd w:val="0"/>
        <w:spacing w:after="0" w:line="240" w:lineRule="auto"/>
        <w:jc w:val="both"/>
        <w:rPr>
          <w:rFonts w:ascii="Century Gothic" w:hAnsi="Century Gothic" w:cs="DINPro-Light"/>
          <w:color w:val="221E1F"/>
        </w:rPr>
      </w:pPr>
    </w:p>
    <w:p w:rsidR="000A6B33" w:rsidRPr="003E16D5" w:rsidRDefault="000A6B33" w:rsidP="003E16D5">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lastRenderedPageBreak/>
        <w:t xml:space="preserve">Bon à savoir : </w:t>
      </w:r>
    </w:p>
    <w:p w:rsidR="000A6B33" w:rsidRPr="003E16D5" w:rsidRDefault="000A6B33" w:rsidP="003E16D5">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 xml:space="preserve">Tous les salariés, comptant au moins trois mois d’ancienneté, quelle que soit la nature de leur contrat de travail, bénéficieront de l’accord d’intéressement. L’apprenti est également  bénéficiaire s’il y a d’autres salariés (mais </w:t>
      </w:r>
      <w:r w:rsidR="003E16D5">
        <w:rPr>
          <w:rFonts w:ascii="Century Gothic" w:hAnsi="Century Gothic"/>
        </w:rPr>
        <w:t xml:space="preserve">sa </w:t>
      </w:r>
      <w:r w:rsidRPr="003E16D5">
        <w:rPr>
          <w:rFonts w:ascii="Century Gothic" w:hAnsi="Century Gothic"/>
        </w:rPr>
        <w:t>seul</w:t>
      </w:r>
      <w:r w:rsidR="003E16D5">
        <w:rPr>
          <w:rFonts w:ascii="Century Gothic" w:hAnsi="Century Gothic"/>
        </w:rPr>
        <w:t>e présence</w:t>
      </w:r>
      <w:r w:rsidRPr="003E16D5">
        <w:rPr>
          <w:rFonts w:ascii="Century Gothic" w:hAnsi="Century Gothic"/>
        </w:rPr>
        <w:t xml:space="preserve"> ne suffit pas pour la mise en place). </w:t>
      </w:r>
    </w:p>
    <w:p w:rsidR="00533351" w:rsidRPr="003E16D5" w:rsidRDefault="00533351" w:rsidP="003E16D5">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Le dirigeant d’une entreprise,  comptant un nombre de salariés inférieu</w:t>
      </w:r>
      <w:r w:rsidR="003E16D5">
        <w:rPr>
          <w:rFonts w:ascii="Century Gothic" w:hAnsi="Century Gothic"/>
        </w:rPr>
        <w:t xml:space="preserve">r ou égal à 250 salariés, peut </w:t>
      </w:r>
      <w:r w:rsidRPr="003E16D5">
        <w:rPr>
          <w:rFonts w:ascii="Century Gothic" w:hAnsi="Century Gothic"/>
        </w:rPr>
        <w:t xml:space="preserve">également en bénéficier, dès lors que l’accord le mentionne expressément. </w:t>
      </w:r>
    </w:p>
    <w:p w:rsidR="005F215F" w:rsidRPr="003E16D5" w:rsidRDefault="005F215F" w:rsidP="003E16D5">
      <w:pPr>
        <w:autoSpaceDE w:val="0"/>
        <w:autoSpaceDN w:val="0"/>
        <w:adjustRightInd w:val="0"/>
        <w:spacing w:after="0" w:line="240" w:lineRule="auto"/>
        <w:jc w:val="both"/>
        <w:rPr>
          <w:rFonts w:ascii="Century Gothic" w:hAnsi="Century Gothic" w:cs="DINPro-Light"/>
          <w:color w:val="221E1F"/>
        </w:rPr>
      </w:pPr>
    </w:p>
    <w:p w:rsidR="00972E7A" w:rsidRDefault="005F215F" w:rsidP="003E16D5">
      <w:pPr>
        <w:autoSpaceDE w:val="0"/>
        <w:autoSpaceDN w:val="0"/>
        <w:adjustRightInd w:val="0"/>
        <w:spacing w:after="0" w:line="240" w:lineRule="auto"/>
        <w:jc w:val="both"/>
        <w:rPr>
          <w:rFonts w:ascii="Century Gothic" w:hAnsi="Century Gothic" w:cs="DINPro-Light"/>
          <w:color w:val="221E1F"/>
        </w:rPr>
      </w:pPr>
      <w:r w:rsidRPr="003E16D5">
        <w:rPr>
          <w:rFonts w:ascii="Century Gothic" w:hAnsi="Century Gothic" w:cs="DINPro-Light"/>
          <w:color w:val="221E1F"/>
        </w:rPr>
        <w:t>La mise en œuvre d’un ac</w:t>
      </w:r>
      <w:r w:rsidR="00CB00BD" w:rsidRPr="003E16D5">
        <w:rPr>
          <w:rFonts w:ascii="Century Gothic" w:hAnsi="Century Gothic" w:cs="DINPro-Light"/>
          <w:color w:val="221E1F"/>
        </w:rPr>
        <w:t>cord respecte plusieurs étapes</w:t>
      </w:r>
      <w:r w:rsidR="007E50EE">
        <w:rPr>
          <w:rFonts w:ascii="Century Gothic" w:hAnsi="Century Gothic" w:cs="DINPro-Light"/>
          <w:color w:val="221E1F"/>
        </w:rPr>
        <w:t>.</w:t>
      </w:r>
      <w:r w:rsidR="00CB00BD" w:rsidRPr="003E16D5">
        <w:rPr>
          <w:rFonts w:ascii="Century Gothic" w:hAnsi="Century Gothic" w:cs="DINPro-Light"/>
          <w:color w:val="221E1F"/>
        </w:rPr>
        <w:t xml:space="preserve"> </w:t>
      </w:r>
    </w:p>
    <w:p w:rsidR="003E16D5" w:rsidRPr="003E16D5" w:rsidRDefault="003E16D5" w:rsidP="003E16D5">
      <w:pPr>
        <w:autoSpaceDE w:val="0"/>
        <w:autoSpaceDN w:val="0"/>
        <w:adjustRightInd w:val="0"/>
        <w:spacing w:after="0" w:line="240" w:lineRule="auto"/>
        <w:jc w:val="both"/>
        <w:rPr>
          <w:rFonts w:ascii="Century Gothic" w:hAnsi="Century Gothic" w:cs="DINPro-Light"/>
          <w:color w:val="221E1F"/>
        </w:rPr>
      </w:pPr>
    </w:p>
    <w:p w:rsidR="002B252A" w:rsidRDefault="007511E7" w:rsidP="003E16D5">
      <w:pPr>
        <w:spacing w:after="0" w:line="240" w:lineRule="auto"/>
        <w:jc w:val="both"/>
        <w:rPr>
          <w:rFonts w:ascii="Century Gothic" w:hAnsi="Century Gothic" w:cs="DINPro-Light"/>
          <w:color w:val="221E1F"/>
        </w:rPr>
      </w:pPr>
      <w:r>
        <w:rPr>
          <w:rFonts w:ascii="Century Gothic" w:hAnsi="Century Gothic" w:cs="DINPro-Light"/>
          <w:color w:val="221E1F"/>
        </w:rPr>
        <w:t>Tout d’abord,</w:t>
      </w:r>
      <w:r w:rsidR="007E50EE">
        <w:rPr>
          <w:rFonts w:ascii="Century Gothic" w:hAnsi="Century Gothic" w:cs="DINPro-Light"/>
          <w:color w:val="221E1F"/>
        </w:rPr>
        <w:t xml:space="preserve"> il est nécessaire</w:t>
      </w:r>
      <w:r w:rsidR="00FF4F96">
        <w:rPr>
          <w:rFonts w:ascii="Century Gothic" w:hAnsi="Century Gothic" w:cs="DINPro-Light"/>
          <w:color w:val="221E1F"/>
        </w:rPr>
        <w:t xml:space="preserve"> </w:t>
      </w:r>
      <w:r w:rsidR="00CB0E47">
        <w:rPr>
          <w:rFonts w:ascii="Century Gothic" w:hAnsi="Century Gothic" w:cs="DINPro-Light"/>
          <w:color w:val="221E1F"/>
        </w:rPr>
        <w:t xml:space="preserve">de </w:t>
      </w:r>
      <w:r w:rsidR="00FF4F96">
        <w:rPr>
          <w:rFonts w:ascii="Century Gothic" w:hAnsi="Century Gothic" w:cs="DINPro-Light"/>
          <w:color w:val="221E1F"/>
        </w:rPr>
        <w:t>fixer</w:t>
      </w:r>
      <w:r w:rsidR="007E50EE">
        <w:rPr>
          <w:rFonts w:ascii="Century Gothic" w:hAnsi="Century Gothic" w:cs="DINPro-Light"/>
          <w:color w:val="221E1F"/>
        </w:rPr>
        <w:t xml:space="preserve"> le budget global. </w:t>
      </w:r>
      <w:r w:rsidR="002B252A" w:rsidRPr="003E16D5">
        <w:rPr>
          <w:rFonts w:ascii="Century Gothic" w:hAnsi="Century Gothic" w:cs="DINPro-Light"/>
          <w:color w:val="221E1F"/>
        </w:rPr>
        <w:t>M. DUPONT envisage de verser un montant équivalent à un mois de salaire.</w:t>
      </w:r>
      <w:r w:rsidR="005B4BD0">
        <w:rPr>
          <w:rFonts w:ascii="Century Gothic" w:hAnsi="Century Gothic" w:cs="DINPro-Light"/>
          <w:color w:val="221E1F"/>
        </w:rPr>
        <w:t xml:space="preserve"> </w:t>
      </w:r>
      <w:r w:rsidR="002B252A" w:rsidRPr="003E16D5">
        <w:rPr>
          <w:rFonts w:ascii="Century Gothic" w:hAnsi="Century Gothic" w:cs="DINPro-Light"/>
          <w:color w:val="221E1F"/>
        </w:rPr>
        <w:t>La masse salariale de la menuiserie est de</w:t>
      </w:r>
      <w:r w:rsidR="00923E22" w:rsidRPr="003E16D5">
        <w:rPr>
          <w:rFonts w:ascii="Century Gothic" w:hAnsi="Century Gothic" w:cs="DINPro-Light"/>
          <w:color w:val="221E1F"/>
        </w:rPr>
        <w:t xml:space="preserve"> 342 400</w:t>
      </w:r>
      <w:r w:rsidR="002B252A" w:rsidRPr="003E16D5">
        <w:rPr>
          <w:rFonts w:ascii="Century Gothic" w:hAnsi="Century Gothic" w:cs="DINPro-Light"/>
          <w:color w:val="221E1F"/>
        </w:rPr>
        <w:t xml:space="preserve"> €. </w:t>
      </w:r>
      <w:r w:rsidR="005B4BD0">
        <w:rPr>
          <w:rFonts w:ascii="Century Gothic" w:hAnsi="Century Gothic" w:cs="DINPro-Light"/>
          <w:color w:val="221E1F"/>
        </w:rPr>
        <w:t xml:space="preserve"> </w:t>
      </w:r>
      <w:r w:rsidR="007C7833" w:rsidRPr="003E16D5">
        <w:rPr>
          <w:rFonts w:ascii="Century Gothic" w:hAnsi="Century Gothic" w:cs="DINPro-Light"/>
          <w:color w:val="221E1F"/>
        </w:rPr>
        <w:t>La prime globale d’intéressement brute distribuable serait de</w:t>
      </w:r>
      <w:r w:rsidR="00923E22" w:rsidRPr="003E16D5">
        <w:rPr>
          <w:rFonts w:ascii="Century Gothic" w:hAnsi="Century Gothic" w:cs="DINPro-Light"/>
          <w:color w:val="221E1F"/>
        </w:rPr>
        <w:t xml:space="preserve"> 28 534 </w:t>
      </w:r>
      <w:r w:rsidR="00945332" w:rsidRPr="003E16D5">
        <w:rPr>
          <w:rFonts w:ascii="Century Gothic" w:hAnsi="Century Gothic" w:cs="DINPro-Light"/>
          <w:color w:val="221E1F"/>
        </w:rPr>
        <w:t>€,</w:t>
      </w:r>
      <w:r w:rsidR="007C7833" w:rsidRPr="003E16D5">
        <w:rPr>
          <w:rFonts w:ascii="Century Gothic" w:hAnsi="Century Gothic" w:cs="DINPro-Light"/>
          <w:color w:val="221E1F"/>
        </w:rPr>
        <w:t xml:space="preserve"> soit environ </w:t>
      </w:r>
      <w:r w:rsidR="00923E22" w:rsidRPr="003E16D5">
        <w:rPr>
          <w:rFonts w:ascii="Century Gothic" w:hAnsi="Century Gothic" w:cs="DINPro-Light"/>
          <w:color w:val="221E1F"/>
        </w:rPr>
        <w:t>8</w:t>
      </w:r>
      <w:r w:rsidR="007C7833" w:rsidRPr="003E16D5">
        <w:rPr>
          <w:rFonts w:ascii="Century Gothic" w:hAnsi="Century Gothic" w:cs="DINPro-Light"/>
          <w:color w:val="221E1F"/>
        </w:rPr>
        <w:t xml:space="preserve">% de la masse salariale. </w:t>
      </w:r>
    </w:p>
    <w:p w:rsidR="003E16D5" w:rsidRPr="003E16D5" w:rsidRDefault="003E16D5" w:rsidP="003E16D5">
      <w:pPr>
        <w:spacing w:after="0" w:line="240" w:lineRule="auto"/>
        <w:jc w:val="both"/>
        <w:rPr>
          <w:rFonts w:ascii="Century Gothic" w:hAnsi="Century Gothic" w:cs="DINPro-Light"/>
          <w:color w:val="221E1F"/>
        </w:rPr>
      </w:pPr>
    </w:p>
    <w:p w:rsidR="005F215F" w:rsidRPr="003E16D5" w:rsidRDefault="007511E7" w:rsidP="003E16D5">
      <w:pPr>
        <w:spacing w:after="0"/>
        <w:jc w:val="both"/>
        <w:rPr>
          <w:rFonts w:ascii="Century Gothic" w:hAnsi="Century Gothic" w:cs="DINPro-Light"/>
          <w:color w:val="221E1F"/>
        </w:rPr>
      </w:pPr>
      <w:r>
        <w:rPr>
          <w:rFonts w:ascii="Century Gothic" w:hAnsi="Century Gothic" w:cs="DINPro-Light"/>
          <w:color w:val="221E1F"/>
        </w:rPr>
        <w:t>Ensuite,</w:t>
      </w:r>
      <w:r w:rsidR="00FF4F96">
        <w:rPr>
          <w:rFonts w:ascii="Century Gothic" w:hAnsi="Century Gothic" w:cs="DINPro-Light"/>
          <w:color w:val="221E1F"/>
        </w:rPr>
        <w:t xml:space="preserve"> le seuil de déclenchement est à définir. </w:t>
      </w:r>
      <w:r w:rsidR="005F215F" w:rsidRPr="003E16D5">
        <w:rPr>
          <w:rFonts w:ascii="Century Gothic" w:hAnsi="Century Gothic" w:cs="DINPro-Light"/>
          <w:color w:val="221E1F"/>
        </w:rPr>
        <w:t>L’entreprise doit définir un objectif aléatoire à atteindre sur la durée de l’accord (trois ans).  Les objectifs peuvent être liés au résultat ou à la performance.</w:t>
      </w:r>
    </w:p>
    <w:p w:rsidR="004372DA" w:rsidRPr="003E16D5" w:rsidRDefault="004372DA" w:rsidP="003E16D5">
      <w:pPr>
        <w:autoSpaceDE w:val="0"/>
        <w:autoSpaceDN w:val="0"/>
        <w:adjustRightInd w:val="0"/>
        <w:spacing w:after="0" w:line="241" w:lineRule="atLeast"/>
        <w:jc w:val="both"/>
        <w:rPr>
          <w:rFonts w:ascii="Century Gothic" w:hAnsi="Century Gothic" w:cs="DINPro-Light"/>
          <w:color w:val="221E1F"/>
        </w:rPr>
      </w:pPr>
      <w:r w:rsidRPr="003E16D5">
        <w:rPr>
          <w:rFonts w:ascii="Century Gothic" w:hAnsi="Century Gothic" w:cs="DINPro-Light"/>
          <w:color w:val="221E1F"/>
        </w:rPr>
        <w:t>M</w:t>
      </w:r>
      <w:r w:rsidR="005F215F" w:rsidRPr="003E16D5">
        <w:rPr>
          <w:rFonts w:ascii="Century Gothic" w:hAnsi="Century Gothic" w:cs="DINPro-Light"/>
          <w:color w:val="221E1F"/>
        </w:rPr>
        <w:t>. DUPONT souhaite améliorer</w:t>
      </w:r>
      <w:r w:rsidRPr="003E16D5">
        <w:rPr>
          <w:rFonts w:ascii="Century Gothic" w:hAnsi="Century Gothic" w:cs="DINPro-Light"/>
          <w:color w:val="221E1F"/>
        </w:rPr>
        <w:t xml:space="preserve"> la gestion de ses stocks, et </w:t>
      </w:r>
      <w:r w:rsidR="003E16D5">
        <w:rPr>
          <w:rFonts w:ascii="Century Gothic" w:hAnsi="Century Gothic" w:cs="DINPro-Light"/>
          <w:color w:val="221E1F"/>
        </w:rPr>
        <w:t>diminuer</w:t>
      </w:r>
      <w:r w:rsidRPr="003E16D5">
        <w:rPr>
          <w:rFonts w:ascii="Century Gothic" w:hAnsi="Century Gothic" w:cs="DINPro-Light"/>
          <w:color w:val="221E1F"/>
        </w:rPr>
        <w:t xml:space="preserve"> le taux d’intervention SAV. Ces critères </w:t>
      </w:r>
      <w:r w:rsidR="005F215F" w:rsidRPr="003E16D5">
        <w:rPr>
          <w:rFonts w:ascii="Century Gothic" w:hAnsi="Century Gothic" w:cs="DINPro-Light"/>
          <w:color w:val="221E1F"/>
        </w:rPr>
        <w:t xml:space="preserve">pertinents </w:t>
      </w:r>
      <w:r w:rsidRPr="003E16D5">
        <w:rPr>
          <w:rFonts w:ascii="Century Gothic" w:hAnsi="Century Gothic" w:cs="DINPro-Light"/>
          <w:color w:val="221E1F"/>
        </w:rPr>
        <w:t>peuvent être retenus dans le cadre de l’accord d’intéressement sous réserve d’être mesurables</w:t>
      </w:r>
      <w:r w:rsidR="005F215F" w:rsidRPr="003E16D5">
        <w:rPr>
          <w:rFonts w:ascii="Century Gothic" w:hAnsi="Century Gothic" w:cs="DINPro-Light"/>
          <w:color w:val="221E1F"/>
        </w:rPr>
        <w:t xml:space="preserve"> </w:t>
      </w:r>
      <w:r w:rsidRPr="003E16D5">
        <w:rPr>
          <w:rFonts w:ascii="Century Gothic" w:hAnsi="Century Gothic" w:cs="DINPro-Light"/>
          <w:color w:val="221E1F"/>
        </w:rPr>
        <w:t xml:space="preserve">et contrôlables. Un outil de mesure précis du suivi de ces éléments (tableau de bord, outil informatique…) est indispensable. </w:t>
      </w:r>
    </w:p>
    <w:p w:rsidR="007D59F0" w:rsidRPr="003E16D5" w:rsidRDefault="003E16D5" w:rsidP="003E16D5">
      <w:pPr>
        <w:autoSpaceDE w:val="0"/>
        <w:autoSpaceDN w:val="0"/>
        <w:adjustRightInd w:val="0"/>
        <w:spacing w:after="0" w:line="241" w:lineRule="atLeast"/>
        <w:jc w:val="both"/>
        <w:rPr>
          <w:rFonts w:ascii="Century Gothic" w:hAnsi="Century Gothic" w:cs="DINPro-Light"/>
          <w:color w:val="221E1F"/>
        </w:rPr>
      </w:pPr>
      <w:r>
        <w:rPr>
          <w:rFonts w:ascii="Century Gothic" w:hAnsi="Century Gothic" w:cs="DINPro-Light"/>
          <w:color w:val="221E1F"/>
        </w:rPr>
        <w:t xml:space="preserve">Attention : </w:t>
      </w:r>
      <w:r w:rsidR="001B6AD8" w:rsidRPr="003E16D5">
        <w:rPr>
          <w:rFonts w:ascii="Century Gothic" w:hAnsi="Century Gothic" w:cs="DINPro-Light"/>
          <w:color w:val="221E1F"/>
        </w:rPr>
        <w:t xml:space="preserve">Il est préférable de </w:t>
      </w:r>
      <w:r w:rsidR="005F215F" w:rsidRPr="003E16D5">
        <w:rPr>
          <w:rFonts w:ascii="Century Gothic" w:hAnsi="Century Gothic" w:cs="DINPro-Light"/>
          <w:color w:val="221E1F"/>
        </w:rPr>
        <w:t>coller à</w:t>
      </w:r>
      <w:r w:rsidR="001B6AD8" w:rsidRPr="003E16D5">
        <w:rPr>
          <w:rFonts w:ascii="Century Gothic" w:hAnsi="Century Gothic" w:cs="DINPro-Light"/>
          <w:color w:val="221E1F"/>
        </w:rPr>
        <w:t xml:space="preserve"> la réalité de l’entreprise, </w:t>
      </w:r>
      <w:r w:rsidR="007D59F0" w:rsidRPr="003E16D5">
        <w:rPr>
          <w:rFonts w:ascii="Century Gothic" w:hAnsi="Century Gothic" w:cs="DINPro-Light"/>
          <w:color w:val="221E1F"/>
        </w:rPr>
        <w:t xml:space="preserve">et </w:t>
      </w:r>
      <w:r w:rsidR="001B6AD8" w:rsidRPr="003E16D5">
        <w:rPr>
          <w:rFonts w:ascii="Century Gothic" w:hAnsi="Century Gothic" w:cs="DINPro-Light"/>
          <w:color w:val="221E1F"/>
        </w:rPr>
        <w:t xml:space="preserve">de retenir des indicateurs opérationnels </w:t>
      </w:r>
      <w:r w:rsidR="007D59F0" w:rsidRPr="003E16D5">
        <w:rPr>
          <w:rFonts w:ascii="Century Gothic" w:hAnsi="Century Gothic" w:cs="DINPro-Light"/>
          <w:color w:val="221E1F"/>
        </w:rPr>
        <w:t xml:space="preserve">clairs et simples, qui n’apparaissent pas obscurs aux yeux des salariés. </w:t>
      </w:r>
    </w:p>
    <w:p w:rsidR="007D59F0" w:rsidRPr="003E16D5" w:rsidRDefault="007D59F0" w:rsidP="003E16D5">
      <w:pPr>
        <w:autoSpaceDE w:val="0"/>
        <w:autoSpaceDN w:val="0"/>
        <w:adjustRightInd w:val="0"/>
        <w:spacing w:after="0" w:line="241" w:lineRule="atLeast"/>
        <w:jc w:val="both"/>
        <w:rPr>
          <w:rFonts w:ascii="Century Gothic" w:hAnsi="Century Gothic" w:cs="DINPro-Light"/>
          <w:color w:val="221E1F"/>
        </w:rPr>
      </w:pPr>
    </w:p>
    <w:p w:rsidR="007C7833" w:rsidRPr="003E16D5" w:rsidRDefault="00FF4F96" w:rsidP="003E16D5">
      <w:pPr>
        <w:spacing w:after="0"/>
        <w:jc w:val="both"/>
        <w:rPr>
          <w:rFonts w:ascii="Century Gothic" w:hAnsi="Century Gothic" w:cs="DINPro-Light"/>
          <w:color w:val="221E1F"/>
        </w:rPr>
      </w:pPr>
      <w:r>
        <w:rPr>
          <w:rFonts w:ascii="Century Gothic" w:hAnsi="Century Gothic" w:cs="DINPro-Light"/>
          <w:color w:val="221E1F"/>
        </w:rPr>
        <w:t>Enfin, il reste à déterminer un mode de répartition entre les bénéfici</w:t>
      </w:r>
      <w:r w:rsidR="00945332">
        <w:rPr>
          <w:rFonts w:ascii="Century Gothic" w:hAnsi="Century Gothic" w:cs="DINPro-Light"/>
          <w:color w:val="221E1F"/>
        </w:rPr>
        <w:t>ai</w:t>
      </w:r>
      <w:r>
        <w:rPr>
          <w:rFonts w:ascii="Century Gothic" w:hAnsi="Century Gothic" w:cs="DINPro-Light"/>
          <w:color w:val="221E1F"/>
        </w:rPr>
        <w:t>res. Sur ce point, l</w:t>
      </w:r>
      <w:r w:rsidR="007C7833" w:rsidRPr="003E16D5">
        <w:rPr>
          <w:rFonts w:ascii="Century Gothic" w:hAnsi="Century Gothic" w:cs="DINPro-Light"/>
          <w:color w:val="221E1F"/>
        </w:rPr>
        <w:t>es accords peuvent prévoir</w:t>
      </w:r>
      <w:r>
        <w:rPr>
          <w:rFonts w:ascii="Century Gothic" w:hAnsi="Century Gothic" w:cs="DINPro-Light"/>
          <w:color w:val="221E1F"/>
        </w:rPr>
        <w:t xml:space="preserve"> de nombreuses possibilités</w:t>
      </w:r>
      <w:r w:rsidR="007C7833" w:rsidRPr="003E16D5">
        <w:rPr>
          <w:rFonts w:ascii="Century Gothic" w:hAnsi="Century Gothic" w:cs="DINPro-Light"/>
          <w:color w:val="221E1F"/>
        </w:rPr>
        <w:t xml:space="preserve"> :</w:t>
      </w:r>
    </w:p>
    <w:p w:rsidR="007C7833" w:rsidRPr="003E16D5" w:rsidRDefault="007C7833" w:rsidP="003E16D5">
      <w:pPr>
        <w:spacing w:after="0"/>
        <w:jc w:val="both"/>
        <w:rPr>
          <w:rFonts w:ascii="Century Gothic" w:hAnsi="Century Gothic" w:cs="DINPro-Light"/>
          <w:color w:val="221E1F"/>
        </w:rPr>
      </w:pPr>
      <w:r w:rsidRPr="003E16D5">
        <w:rPr>
          <w:rFonts w:ascii="Century Gothic" w:hAnsi="Century Gothic" w:cs="DINPro-Light"/>
          <w:color w:val="221E1F"/>
        </w:rPr>
        <w:t>- soit une répartition uniforme ;</w:t>
      </w:r>
    </w:p>
    <w:p w:rsidR="007C7833" w:rsidRPr="003E16D5" w:rsidRDefault="007C7833" w:rsidP="003E16D5">
      <w:pPr>
        <w:spacing w:after="0"/>
        <w:jc w:val="both"/>
        <w:rPr>
          <w:rFonts w:ascii="Century Gothic" w:hAnsi="Century Gothic" w:cs="DINPro-Light"/>
          <w:color w:val="221E1F"/>
        </w:rPr>
      </w:pPr>
      <w:r w:rsidRPr="003E16D5">
        <w:rPr>
          <w:rFonts w:ascii="Century Gothic" w:hAnsi="Century Gothic" w:cs="DINPro-Light"/>
          <w:color w:val="221E1F"/>
        </w:rPr>
        <w:t>- soit une répartition proportionnelle au salaire ;</w:t>
      </w:r>
    </w:p>
    <w:p w:rsidR="007C7833" w:rsidRPr="003E16D5" w:rsidRDefault="007C7833" w:rsidP="003E16D5">
      <w:pPr>
        <w:spacing w:after="0"/>
        <w:jc w:val="both"/>
        <w:rPr>
          <w:rFonts w:ascii="Century Gothic" w:hAnsi="Century Gothic" w:cs="DINPro-Light"/>
          <w:color w:val="221E1F"/>
        </w:rPr>
      </w:pPr>
      <w:r w:rsidRPr="003E16D5">
        <w:rPr>
          <w:rFonts w:ascii="Century Gothic" w:hAnsi="Century Gothic" w:cs="DINPro-Light"/>
          <w:color w:val="221E1F"/>
        </w:rPr>
        <w:t>- soit une répartition proportionnelle à la durée de présence</w:t>
      </w:r>
      <w:r w:rsidR="00945332">
        <w:rPr>
          <w:rFonts w:ascii="Century Gothic" w:hAnsi="Century Gothic" w:cs="DINPro-Light"/>
          <w:color w:val="221E1F"/>
        </w:rPr>
        <w:t xml:space="preserve"> (temps de </w:t>
      </w:r>
      <w:r w:rsidR="002B7688">
        <w:rPr>
          <w:rFonts w:ascii="Century Gothic" w:hAnsi="Century Gothic" w:cs="DINPro-Light"/>
          <w:color w:val="221E1F"/>
        </w:rPr>
        <w:t>travail</w:t>
      </w:r>
      <w:r w:rsidR="00945332">
        <w:rPr>
          <w:rFonts w:ascii="Century Gothic" w:hAnsi="Century Gothic" w:cs="DINPro-Light"/>
          <w:color w:val="221E1F"/>
        </w:rPr>
        <w:t>)</w:t>
      </w:r>
      <w:r w:rsidRPr="003E16D5">
        <w:rPr>
          <w:rFonts w:ascii="Century Gothic" w:hAnsi="Century Gothic" w:cs="DINPro-Light"/>
          <w:color w:val="221E1F"/>
        </w:rPr>
        <w:t xml:space="preserve"> ;</w:t>
      </w:r>
    </w:p>
    <w:p w:rsidR="007C7833" w:rsidRPr="003E16D5" w:rsidRDefault="007C7833" w:rsidP="003E16D5">
      <w:pPr>
        <w:spacing w:after="0"/>
        <w:jc w:val="both"/>
        <w:rPr>
          <w:rFonts w:ascii="Century Gothic" w:hAnsi="Century Gothic" w:cs="DINPro-Light"/>
          <w:color w:val="221E1F"/>
        </w:rPr>
      </w:pPr>
      <w:r w:rsidRPr="003E16D5">
        <w:rPr>
          <w:rFonts w:ascii="Century Gothic" w:hAnsi="Century Gothic" w:cs="DINPro-Light"/>
          <w:color w:val="221E1F"/>
        </w:rPr>
        <w:t>- soit une répartition utilisant conjointement plusieurs de ces critères.</w:t>
      </w:r>
    </w:p>
    <w:p w:rsidR="007C7833" w:rsidRPr="003E16D5" w:rsidRDefault="00557868" w:rsidP="003E16D5">
      <w:pPr>
        <w:spacing w:after="0"/>
        <w:jc w:val="both"/>
        <w:rPr>
          <w:rFonts w:ascii="Century Gothic" w:hAnsi="Century Gothic" w:cs="DINPro-Light"/>
          <w:color w:val="221E1F"/>
        </w:rPr>
      </w:pPr>
      <w:r>
        <w:rPr>
          <w:rFonts w:ascii="Century Gothic" w:hAnsi="Century Gothic" w:cs="DINPro-Light"/>
          <w:color w:val="221E1F"/>
        </w:rPr>
        <w:t>Cependant, l</w:t>
      </w:r>
      <w:r w:rsidR="007C7833" w:rsidRPr="003E16D5">
        <w:rPr>
          <w:rFonts w:ascii="Century Gothic" w:hAnsi="Century Gothic" w:cs="DINPro-Light"/>
          <w:color w:val="221E1F"/>
        </w:rPr>
        <w:t>es critères de l'ancienneté et de la qualification sont interdits.</w:t>
      </w:r>
    </w:p>
    <w:p w:rsidR="00557868" w:rsidRDefault="00557868" w:rsidP="003E16D5">
      <w:pPr>
        <w:spacing w:after="0"/>
        <w:jc w:val="both"/>
        <w:rPr>
          <w:rFonts w:ascii="Century Gothic" w:hAnsi="Century Gothic" w:cs="DINPro-Light"/>
          <w:color w:val="221E1F"/>
        </w:rPr>
      </w:pPr>
    </w:p>
    <w:p w:rsidR="008728E8" w:rsidRPr="003E16D5" w:rsidRDefault="008728E8" w:rsidP="003E16D5">
      <w:pPr>
        <w:spacing w:after="0"/>
        <w:jc w:val="both"/>
        <w:rPr>
          <w:rFonts w:ascii="Century Gothic" w:hAnsi="Century Gothic" w:cs="DINPro-Light"/>
          <w:color w:val="221E1F"/>
        </w:rPr>
      </w:pPr>
      <w:r w:rsidRPr="003E16D5">
        <w:rPr>
          <w:rFonts w:ascii="Century Gothic" w:hAnsi="Century Gothic" w:cs="DINPro-Light"/>
          <w:color w:val="221E1F"/>
        </w:rPr>
        <w:t xml:space="preserve">M. DUPONT souhaite que les salariés les mieux rémunérés aient les primes les plus élevées, dès lors la répartition proportionnelle à la rémunération est la plus adaptée. </w:t>
      </w:r>
    </w:p>
    <w:p w:rsidR="00EA49DA" w:rsidRPr="003E16D5" w:rsidRDefault="00EA49DA" w:rsidP="008728E8">
      <w:pPr>
        <w:spacing w:after="0"/>
        <w:jc w:val="both"/>
        <w:rPr>
          <w:rFonts w:ascii="Century Gothic" w:hAnsi="Century Gothic" w:cs="DINPro-Light"/>
          <w:color w:val="221E1F"/>
        </w:rPr>
      </w:pPr>
    </w:p>
    <w:p w:rsidR="00945332" w:rsidRPr="003E16D5" w:rsidRDefault="00EA49DA" w:rsidP="003E16D5">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 xml:space="preserve">Bon à savoir : </w:t>
      </w:r>
      <w:r w:rsidR="005F7DB5" w:rsidRPr="003E16D5">
        <w:rPr>
          <w:rFonts w:ascii="Century Gothic" w:hAnsi="Century Gothic"/>
        </w:rPr>
        <w:t xml:space="preserve">En cas de répartition proportionnelle à la rémunération, le revenu professionnel </w:t>
      </w:r>
      <w:r w:rsidR="00113953" w:rsidRPr="003E16D5">
        <w:rPr>
          <w:rFonts w:ascii="Century Gothic" w:hAnsi="Century Gothic"/>
        </w:rPr>
        <w:t xml:space="preserve">perçu par le chef d’entreprise </w:t>
      </w:r>
      <w:r w:rsidR="005F7DB5" w:rsidRPr="003E16D5">
        <w:rPr>
          <w:rFonts w:ascii="Century Gothic" w:hAnsi="Century Gothic"/>
        </w:rPr>
        <w:t xml:space="preserve">est </w:t>
      </w:r>
      <w:r w:rsidR="002B7688">
        <w:rPr>
          <w:rFonts w:ascii="Century Gothic" w:hAnsi="Century Gothic"/>
        </w:rPr>
        <w:t>plafonné</w:t>
      </w:r>
      <w:r w:rsidR="00945332" w:rsidRPr="00945332">
        <w:rPr>
          <w:rFonts w:ascii="Century Gothic" w:hAnsi="Century Gothic"/>
        </w:rPr>
        <w:t>, pour le calcul de la prime d’intéressement individuelle, à la rémunération du salarié le mieux rémunéré.</w:t>
      </w:r>
    </w:p>
    <w:p w:rsidR="003E16D5" w:rsidRDefault="003E16D5" w:rsidP="003E16D5">
      <w:pPr>
        <w:autoSpaceDE w:val="0"/>
        <w:autoSpaceDN w:val="0"/>
        <w:adjustRightInd w:val="0"/>
        <w:spacing w:after="0" w:line="240" w:lineRule="auto"/>
        <w:jc w:val="both"/>
        <w:rPr>
          <w:rFonts w:ascii="Century Gothic" w:hAnsi="Century Gothic" w:cs="DINPro-Light"/>
          <w:color w:val="221E1F"/>
        </w:rPr>
      </w:pPr>
    </w:p>
    <w:p w:rsidR="00A2570B" w:rsidRPr="003E16D5" w:rsidRDefault="00A2570B" w:rsidP="003E16D5">
      <w:pPr>
        <w:autoSpaceDE w:val="0"/>
        <w:autoSpaceDN w:val="0"/>
        <w:adjustRightInd w:val="0"/>
        <w:spacing w:after="0" w:line="240" w:lineRule="auto"/>
        <w:jc w:val="both"/>
        <w:rPr>
          <w:rFonts w:ascii="Century Gothic" w:hAnsi="Century Gothic" w:cs="DINPro-Light"/>
          <w:color w:val="221E1F"/>
        </w:rPr>
      </w:pPr>
      <w:r w:rsidRPr="003E16D5">
        <w:rPr>
          <w:rFonts w:ascii="Century Gothic" w:hAnsi="Century Gothic" w:cs="DINPro-Light"/>
          <w:color w:val="221E1F"/>
        </w:rPr>
        <w:t>Les primes d’intéressement bénéficient d’un cadre fiscal et social avantageux : elles sont exonérées de cotisations de Sécurité sociale, hors CSG-CRDS et hors forfait social.</w:t>
      </w:r>
    </w:p>
    <w:p w:rsidR="00A2570B" w:rsidRPr="003E16D5" w:rsidRDefault="00A2570B" w:rsidP="003E16D5">
      <w:pPr>
        <w:autoSpaceDE w:val="0"/>
        <w:autoSpaceDN w:val="0"/>
        <w:adjustRightInd w:val="0"/>
        <w:spacing w:after="0" w:line="240" w:lineRule="auto"/>
        <w:jc w:val="both"/>
        <w:rPr>
          <w:rFonts w:ascii="Century Gothic" w:hAnsi="Century Gothic" w:cs="DINPro-Light"/>
          <w:color w:val="221E1F"/>
        </w:rPr>
      </w:pPr>
    </w:p>
    <w:p w:rsidR="00A2570B" w:rsidRPr="003E16D5" w:rsidRDefault="00A2570B" w:rsidP="003E16D5">
      <w:pPr>
        <w:autoSpaceDE w:val="0"/>
        <w:autoSpaceDN w:val="0"/>
        <w:adjustRightInd w:val="0"/>
        <w:spacing w:after="0" w:line="240" w:lineRule="auto"/>
        <w:jc w:val="both"/>
        <w:rPr>
          <w:rFonts w:ascii="Century Gothic" w:hAnsi="Century Gothic" w:cs="DINPro-Light"/>
          <w:color w:val="221E1F"/>
        </w:rPr>
      </w:pPr>
      <w:r w:rsidRPr="003E16D5">
        <w:rPr>
          <w:rFonts w:ascii="Century Gothic" w:hAnsi="Century Gothic" w:cs="DINPro-Light"/>
          <w:color w:val="221E1F"/>
        </w:rPr>
        <w:t xml:space="preserve">Le forfait social, à la charge des entreprises, est </w:t>
      </w:r>
      <w:r w:rsidR="00945332">
        <w:rPr>
          <w:rFonts w:ascii="Century Gothic" w:hAnsi="Century Gothic" w:cs="DINPro-Light"/>
          <w:color w:val="221E1F"/>
        </w:rPr>
        <w:t xml:space="preserve">de </w:t>
      </w:r>
      <w:r w:rsidRPr="003E16D5">
        <w:rPr>
          <w:rFonts w:ascii="Century Gothic" w:hAnsi="Century Gothic" w:cs="DINPro-Light"/>
          <w:color w:val="221E1F"/>
        </w:rPr>
        <w:t xml:space="preserve"> 8% pour les employeurs de moins de 50 salariés qui concluent pour la première fois un accord de participation ou d'intéressement (pendant 6 ans à partir de la date d'effet de l'accord). </w:t>
      </w:r>
    </w:p>
    <w:tbl>
      <w:tblPr>
        <w:tblpPr w:leftFromText="141" w:rightFromText="141" w:vertAnchor="text" w:horzAnchor="margin" w:tblpY="181"/>
        <w:tblW w:w="8779" w:type="dxa"/>
        <w:tblLayout w:type="fixed"/>
        <w:tblCellMar>
          <w:left w:w="0" w:type="dxa"/>
          <w:right w:w="0" w:type="dxa"/>
        </w:tblCellMar>
        <w:tblLook w:val="0420" w:firstRow="1" w:lastRow="0" w:firstColumn="0" w:lastColumn="0" w:noHBand="0" w:noVBand="1"/>
      </w:tblPr>
      <w:tblGrid>
        <w:gridCol w:w="4101"/>
        <w:gridCol w:w="4678"/>
      </w:tblGrid>
      <w:tr w:rsidR="00BD2F56" w:rsidRPr="003E16D5" w:rsidTr="00172223">
        <w:trPr>
          <w:trHeight w:val="200"/>
        </w:trPr>
        <w:tc>
          <w:tcPr>
            <w:tcW w:w="8779" w:type="dxa"/>
            <w:gridSpan w:val="2"/>
            <w:tcBorders>
              <w:top w:val="single" w:sz="8" w:space="0" w:color="000000"/>
              <w:left w:val="single" w:sz="8" w:space="0" w:color="000000"/>
              <w:bottom w:val="single" w:sz="8" w:space="0" w:color="000000"/>
              <w:right w:val="single" w:sz="8" w:space="0" w:color="000000"/>
            </w:tcBorders>
            <w:shd w:val="clear" w:color="auto" w:fill="002060"/>
          </w:tcPr>
          <w:p w:rsidR="00BD2F56" w:rsidRPr="003E16D5" w:rsidRDefault="00BD2F56" w:rsidP="00172223">
            <w:pPr>
              <w:pStyle w:val="Sansinterligne"/>
              <w:jc w:val="center"/>
              <w:rPr>
                <w:rFonts w:ascii="Century Gothic" w:hAnsi="Century Gothic"/>
                <w:b/>
                <w:color w:val="FFFFFF" w:themeColor="background1"/>
              </w:rPr>
            </w:pPr>
            <w:r w:rsidRPr="003E16D5">
              <w:rPr>
                <w:rFonts w:ascii="Century Gothic" w:hAnsi="Century Gothic"/>
                <w:b/>
                <w:color w:val="FFFFFF" w:themeColor="background1"/>
              </w:rPr>
              <w:lastRenderedPageBreak/>
              <w:t>SYNTHESE DES COUTS DU DISPOSITIF POUR L’ENTREPRISE</w:t>
            </w:r>
          </w:p>
        </w:tc>
      </w:tr>
      <w:tr w:rsidR="00BD2F56" w:rsidRPr="003E16D5" w:rsidTr="00172223">
        <w:trPr>
          <w:trHeight w:val="200"/>
        </w:trPr>
        <w:tc>
          <w:tcPr>
            <w:tcW w:w="4101" w:type="dxa"/>
            <w:tcBorders>
              <w:top w:val="single" w:sz="8" w:space="0" w:color="000000"/>
              <w:left w:val="single" w:sz="8" w:space="0" w:color="000000"/>
              <w:bottom w:val="single" w:sz="8" w:space="0" w:color="000000"/>
              <w:right w:val="single" w:sz="8" w:space="0" w:color="000000"/>
            </w:tcBorders>
            <w:vAlign w:val="center"/>
          </w:tcPr>
          <w:p w:rsidR="00BD2F56" w:rsidRPr="003E16D5" w:rsidRDefault="00BD2F56" w:rsidP="00172223">
            <w:pPr>
              <w:spacing w:after="0" w:line="240" w:lineRule="auto"/>
              <w:jc w:val="center"/>
              <w:rPr>
                <w:rFonts w:ascii="Century Gothic" w:hAnsi="Century Gothic"/>
              </w:rPr>
            </w:pPr>
            <w:r w:rsidRPr="003E16D5">
              <w:rPr>
                <w:rFonts w:ascii="Century Gothic" w:hAnsi="Century Gothic"/>
              </w:rPr>
              <w:t xml:space="preserve">Prime globale  </w:t>
            </w:r>
          </w:p>
        </w:tc>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2F56" w:rsidRPr="003E16D5" w:rsidRDefault="00BD2F56" w:rsidP="00172223">
            <w:pPr>
              <w:spacing w:after="0" w:line="240" w:lineRule="auto"/>
              <w:jc w:val="center"/>
              <w:rPr>
                <w:rFonts w:ascii="Century Gothic" w:hAnsi="Century Gothic"/>
              </w:rPr>
            </w:pPr>
            <w:r w:rsidRPr="003E16D5">
              <w:rPr>
                <w:rFonts w:ascii="Century Gothic" w:hAnsi="Century Gothic"/>
              </w:rPr>
              <w:t>28 534 €</w:t>
            </w:r>
          </w:p>
        </w:tc>
      </w:tr>
      <w:tr w:rsidR="00BD2F56" w:rsidRPr="003E16D5" w:rsidTr="00172223">
        <w:trPr>
          <w:trHeight w:val="200"/>
        </w:trPr>
        <w:tc>
          <w:tcPr>
            <w:tcW w:w="4101" w:type="dxa"/>
            <w:tcBorders>
              <w:top w:val="single" w:sz="8" w:space="0" w:color="000000"/>
              <w:left w:val="single" w:sz="8" w:space="0" w:color="000000"/>
              <w:bottom w:val="single" w:sz="8" w:space="0" w:color="000000"/>
              <w:right w:val="single" w:sz="8" w:space="0" w:color="000000"/>
            </w:tcBorders>
            <w:vAlign w:val="center"/>
          </w:tcPr>
          <w:p w:rsidR="00BD2F56" w:rsidRPr="003E16D5" w:rsidRDefault="00BD2F56" w:rsidP="00172223">
            <w:pPr>
              <w:spacing w:after="0" w:line="240" w:lineRule="auto"/>
              <w:jc w:val="center"/>
              <w:rPr>
                <w:rFonts w:ascii="Century Gothic" w:hAnsi="Century Gothic"/>
              </w:rPr>
            </w:pPr>
            <w:r w:rsidRPr="003E16D5">
              <w:rPr>
                <w:rFonts w:ascii="Century Gothic" w:hAnsi="Century Gothic"/>
              </w:rPr>
              <w:t xml:space="preserve">Forfait social </w:t>
            </w:r>
          </w:p>
        </w:tc>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2F56" w:rsidRPr="003E16D5" w:rsidRDefault="00BD2F56" w:rsidP="00172223">
            <w:pPr>
              <w:spacing w:after="0" w:line="240" w:lineRule="auto"/>
              <w:jc w:val="center"/>
              <w:rPr>
                <w:rFonts w:ascii="Century Gothic" w:hAnsi="Century Gothic" w:cs="Arial"/>
                <w:lang w:eastAsia="fr-FR"/>
              </w:rPr>
            </w:pPr>
            <w:r w:rsidRPr="003E16D5">
              <w:rPr>
                <w:rFonts w:ascii="Century Gothic" w:hAnsi="Century Gothic" w:cs="Arial"/>
              </w:rPr>
              <w:t>2 283 €</w:t>
            </w:r>
          </w:p>
        </w:tc>
      </w:tr>
      <w:tr w:rsidR="00BD2F56" w:rsidRPr="003E16D5" w:rsidTr="00172223">
        <w:trPr>
          <w:trHeight w:val="200"/>
        </w:trPr>
        <w:tc>
          <w:tcPr>
            <w:tcW w:w="8779" w:type="dxa"/>
            <w:gridSpan w:val="2"/>
            <w:tcBorders>
              <w:top w:val="single" w:sz="8" w:space="0" w:color="000000"/>
              <w:left w:val="single" w:sz="8" w:space="0" w:color="000000"/>
              <w:bottom w:val="single" w:sz="8" w:space="0" w:color="000000"/>
              <w:right w:val="single" w:sz="8" w:space="0" w:color="000000"/>
            </w:tcBorders>
            <w:shd w:val="clear" w:color="auto" w:fill="D1C9AB"/>
          </w:tcPr>
          <w:p w:rsidR="00BD2F56" w:rsidRPr="003E16D5" w:rsidRDefault="00BD2F56" w:rsidP="00172223">
            <w:pPr>
              <w:spacing w:after="0" w:line="240" w:lineRule="auto"/>
              <w:jc w:val="center"/>
              <w:rPr>
                <w:rFonts w:ascii="Century Gothic" w:hAnsi="Century Gothic"/>
                <w:b/>
              </w:rPr>
            </w:pPr>
            <w:r w:rsidRPr="003E16D5">
              <w:rPr>
                <w:rFonts w:ascii="Century Gothic" w:hAnsi="Century Gothic"/>
                <w:b/>
              </w:rPr>
              <w:t xml:space="preserve">Cout total : 30 816 € </w:t>
            </w:r>
          </w:p>
        </w:tc>
      </w:tr>
    </w:tbl>
    <w:p w:rsidR="005B4BD0" w:rsidRPr="003E16D5" w:rsidRDefault="005B4BD0" w:rsidP="00CB00BD">
      <w:pPr>
        <w:jc w:val="both"/>
        <w:rPr>
          <w:rFonts w:ascii="Century Gothic" w:hAnsi="Century Gothic" w:cs="DINPro-Light"/>
          <w:color w:val="221E1F"/>
        </w:rPr>
      </w:pPr>
    </w:p>
    <w:p w:rsidR="00DB4850" w:rsidRPr="006B6ED1" w:rsidRDefault="00BD2F56" w:rsidP="006B6ED1">
      <w:pPr>
        <w:jc w:val="both"/>
        <w:rPr>
          <w:rFonts w:ascii="Century Gothic" w:hAnsi="Century Gothic" w:cs="DINPro-Light"/>
          <w:b/>
          <w:i/>
          <w:color w:val="221E1F"/>
        </w:rPr>
      </w:pPr>
      <w:r w:rsidRPr="003E16D5">
        <w:rPr>
          <w:rFonts w:ascii="Century Gothic" w:hAnsi="Century Gothic" w:cs="DINPro-Light"/>
          <w:b/>
          <w:i/>
          <w:color w:val="221E1F"/>
        </w:rPr>
        <w:t>En termes d’efficacité</w:t>
      </w:r>
      <w:r w:rsidR="00DB4850" w:rsidRPr="003E16D5">
        <w:rPr>
          <w:rFonts w:ascii="Century Gothic" w:hAnsi="Century Gothic" w:cs="DINPro-Light"/>
          <w:b/>
          <w:i/>
          <w:color w:val="221E1F"/>
        </w:rPr>
        <w:t xml:space="preserve"> pour l’entreprise</w:t>
      </w:r>
      <w:r w:rsidRPr="003E16D5">
        <w:rPr>
          <w:rFonts w:ascii="Century Gothic" w:hAnsi="Century Gothic" w:cs="DINPro-Light"/>
          <w:b/>
          <w:i/>
          <w:color w:val="221E1F"/>
        </w:rPr>
        <w:t xml:space="preserve"> : 85% épargne salariale VS </w:t>
      </w:r>
      <w:r w:rsidR="00CB00BD" w:rsidRPr="003E16D5">
        <w:rPr>
          <w:rFonts w:ascii="Century Gothic" w:hAnsi="Century Gothic" w:cs="DINPro-Light"/>
          <w:b/>
          <w:i/>
          <w:color w:val="221E1F"/>
        </w:rPr>
        <w:t>≈ 50</w:t>
      </w:r>
      <w:r w:rsidRPr="003E16D5">
        <w:rPr>
          <w:rFonts w:ascii="Century Gothic" w:hAnsi="Century Gothic" w:cs="DINPro-Light"/>
          <w:b/>
          <w:i/>
          <w:color w:val="221E1F"/>
        </w:rPr>
        <w:t>% prime salariale</w:t>
      </w:r>
      <w:r w:rsidR="00CB00BD" w:rsidRPr="003E16D5">
        <w:rPr>
          <w:rFonts w:ascii="Century Gothic" w:hAnsi="Century Gothic" w:cs="DINPro-Light"/>
          <w:b/>
          <w:i/>
          <w:color w:val="221E1F"/>
        </w:rPr>
        <w:t> !</w:t>
      </w:r>
    </w:p>
    <w:p w:rsidR="006B6ED1" w:rsidRDefault="00C8160D" w:rsidP="003E16D5">
      <w:pPr>
        <w:spacing w:after="0" w:line="240" w:lineRule="auto"/>
        <w:jc w:val="both"/>
        <w:rPr>
          <w:rFonts w:ascii="Century Gothic" w:hAnsi="Century Gothic" w:cs="DINPro-Light"/>
          <w:color w:val="221E1F"/>
        </w:rPr>
      </w:pPr>
      <w:r w:rsidRPr="003E16D5">
        <w:rPr>
          <w:rFonts w:ascii="Century Gothic" w:hAnsi="Century Gothic" w:cs="DINPro-Light"/>
          <w:color w:val="221E1F"/>
        </w:rPr>
        <w:t>La SASU</w:t>
      </w:r>
      <w:r w:rsidR="00945332">
        <w:rPr>
          <w:rFonts w:ascii="Century Gothic" w:hAnsi="Century Gothic" w:cs="DINPro-Light"/>
          <w:color w:val="221E1F"/>
        </w:rPr>
        <w:t xml:space="preserve">, dont l’exercice clôture au 31 décembre, </w:t>
      </w:r>
      <w:r w:rsidRPr="003E16D5">
        <w:rPr>
          <w:rFonts w:ascii="Century Gothic" w:hAnsi="Century Gothic" w:cs="DINPro-Light"/>
          <w:color w:val="221E1F"/>
        </w:rPr>
        <w:t>doit conclure son accord durant le 1</w:t>
      </w:r>
      <w:r w:rsidRPr="003E16D5">
        <w:rPr>
          <w:rFonts w:ascii="Century Gothic" w:hAnsi="Century Gothic" w:cs="DINPro-Light"/>
          <w:color w:val="221E1F"/>
          <w:vertAlign w:val="superscript"/>
        </w:rPr>
        <w:t>er</w:t>
      </w:r>
      <w:r w:rsidRPr="003E16D5">
        <w:rPr>
          <w:rFonts w:ascii="Century Gothic" w:hAnsi="Century Gothic" w:cs="DINPro-Light"/>
          <w:color w:val="221E1F"/>
        </w:rPr>
        <w:t xml:space="preserve"> semestre</w:t>
      </w:r>
      <w:r w:rsidR="00DB4850" w:rsidRPr="003E16D5">
        <w:rPr>
          <w:rFonts w:ascii="Century Gothic" w:hAnsi="Century Gothic" w:cs="DINPro-Light"/>
          <w:color w:val="221E1F"/>
        </w:rPr>
        <w:t xml:space="preserve"> 2017 afin qu’il s’applique sur </w:t>
      </w:r>
      <w:r w:rsidRPr="003E16D5">
        <w:rPr>
          <w:rFonts w:ascii="Century Gothic" w:hAnsi="Century Gothic" w:cs="DINPro-Light"/>
          <w:color w:val="221E1F"/>
        </w:rPr>
        <w:t xml:space="preserve">l’exercice en cours. </w:t>
      </w:r>
      <w:r w:rsidR="00CB00BD" w:rsidRPr="003E16D5">
        <w:rPr>
          <w:rFonts w:ascii="Century Gothic" w:hAnsi="Century Gothic"/>
        </w:rPr>
        <w:t xml:space="preserve">L’accord est conclu pour une durée de 3 années (2017, 2018 et 2019). </w:t>
      </w:r>
      <w:r w:rsidRPr="003E16D5">
        <w:rPr>
          <w:rFonts w:ascii="Century Gothic" w:hAnsi="Century Gothic" w:cs="DINPro-Light"/>
          <w:color w:val="221E1F"/>
        </w:rPr>
        <w:t xml:space="preserve">Afin de permettre aux bénéficiaires d’épargner leur prime, la SASU mettra en place un PEI et un PERCOI. Dans ce cas, la prime affectée à un plan est exonérée d’impôt sur </w:t>
      </w:r>
      <w:r w:rsidR="006854B5" w:rsidRPr="003E16D5">
        <w:rPr>
          <w:rFonts w:ascii="Century Gothic" w:hAnsi="Century Gothic" w:cs="DINPro-Light"/>
          <w:color w:val="221E1F"/>
        </w:rPr>
        <w:t xml:space="preserve">le revenu. En contrepartie, l’épargne </w:t>
      </w:r>
      <w:r w:rsidR="00FC5AC8" w:rsidRPr="003E16D5">
        <w:rPr>
          <w:rFonts w:ascii="Century Gothic" w:hAnsi="Century Gothic" w:cs="DINPro-Light"/>
          <w:color w:val="221E1F"/>
        </w:rPr>
        <w:t xml:space="preserve">affectée sur des plans </w:t>
      </w:r>
      <w:r w:rsidR="006854B5" w:rsidRPr="003E16D5">
        <w:rPr>
          <w:rFonts w:ascii="Century Gothic" w:hAnsi="Century Gothic" w:cs="DINPro-Light"/>
          <w:color w:val="221E1F"/>
        </w:rPr>
        <w:t xml:space="preserve">est indisponible </w:t>
      </w:r>
      <w:r w:rsidR="00FC5AC8" w:rsidRPr="003E16D5">
        <w:rPr>
          <w:rFonts w:ascii="Century Gothic" w:hAnsi="Century Gothic" w:cs="DINPro-Light"/>
          <w:color w:val="221E1F"/>
        </w:rPr>
        <w:t xml:space="preserve">(5 ans PEI et retraite PERCOI). </w:t>
      </w:r>
    </w:p>
    <w:p w:rsidR="002F1C34" w:rsidRDefault="002F1C34" w:rsidP="003E16D5">
      <w:pPr>
        <w:spacing w:after="0" w:line="240" w:lineRule="auto"/>
        <w:jc w:val="both"/>
        <w:rPr>
          <w:rFonts w:ascii="Century Gothic" w:hAnsi="Century Gothic" w:cs="DINPro-Light"/>
          <w:color w:val="221E1F"/>
        </w:rPr>
      </w:pPr>
    </w:p>
    <w:p w:rsidR="006B6ED1" w:rsidRDefault="006B6ED1" w:rsidP="003E16D5">
      <w:pPr>
        <w:spacing w:after="0" w:line="240" w:lineRule="auto"/>
        <w:jc w:val="both"/>
        <w:rPr>
          <w:rFonts w:ascii="Century Gothic" w:hAnsi="Century Gothic" w:cs="DINPro-Light"/>
          <w:color w:val="221E1F"/>
        </w:rPr>
      </w:pPr>
      <w:r>
        <w:rPr>
          <w:rFonts w:ascii="Century Gothic" w:hAnsi="Century Gothic" w:cs="DINPro-Light"/>
          <w:color w:val="221E1F"/>
        </w:rPr>
        <w:t>Néanmoins</w:t>
      </w:r>
      <w:r w:rsidR="005D2BFA">
        <w:rPr>
          <w:rFonts w:ascii="Century Gothic" w:hAnsi="Century Gothic" w:cs="DINPro-Light"/>
          <w:color w:val="221E1F"/>
        </w:rPr>
        <w:t>,</w:t>
      </w:r>
      <w:r>
        <w:rPr>
          <w:rFonts w:ascii="Century Gothic" w:hAnsi="Century Gothic" w:cs="DINPro-Light"/>
          <w:color w:val="221E1F"/>
        </w:rPr>
        <w:t xml:space="preserve"> </w:t>
      </w:r>
      <w:r w:rsidRPr="006B6ED1">
        <w:rPr>
          <w:rFonts w:ascii="Century Gothic" w:hAnsi="Century Gothic" w:cs="DINPro-Light"/>
          <w:color w:val="221E1F"/>
        </w:rPr>
        <w:t>il existe une dizaine de cas de déblocage anticipés</w:t>
      </w:r>
      <w:r>
        <w:rPr>
          <w:rFonts w:ascii="Century Gothic" w:hAnsi="Century Gothic" w:cs="DINPro-Light"/>
          <w:color w:val="221E1F"/>
        </w:rPr>
        <w:t xml:space="preserve"> </w:t>
      </w:r>
      <w:r w:rsidR="00040CEE">
        <w:rPr>
          <w:rFonts w:ascii="Century Gothic" w:hAnsi="Century Gothic" w:cs="DINPro-Light"/>
          <w:color w:val="221E1F"/>
        </w:rPr>
        <w:t xml:space="preserve">du PEI </w:t>
      </w:r>
      <w:r w:rsidRPr="006B6ED1">
        <w:rPr>
          <w:rFonts w:ascii="Century Gothic" w:hAnsi="Century Gothic" w:cs="DINPro-Light"/>
          <w:color w:val="221E1F"/>
        </w:rPr>
        <w:t xml:space="preserve">permettant à tout moment de récupérer </w:t>
      </w:r>
      <w:r>
        <w:rPr>
          <w:rFonts w:ascii="Century Gothic" w:hAnsi="Century Gothic" w:cs="DINPro-Light"/>
          <w:color w:val="221E1F"/>
        </w:rPr>
        <w:t>son</w:t>
      </w:r>
      <w:r w:rsidRPr="006B6ED1">
        <w:rPr>
          <w:rFonts w:ascii="Century Gothic" w:hAnsi="Century Gothic" w:cs="DINPro-Light"/>
          <w:color w:val="221E1F"/>
        </w:rPr>
        <w:t xml:space="preserve"> épargne en conservant l’ex</w:t>
      </w:r>
      <w:r w:rsidR="00040CEE">
        <w:rPr>
          <w:rFonts w:ascii="Century Gothic" w:hAnsi="Century Gothic" w:cs="DINPro-Light"/>
          <w:color w:val="221E1F"/>
        </w:rPr>
        <w:t xml:space="preserve">onération d’impôt sur le revenu. </w:t>
      </w:r>
      <w:r>
        <w:rPr>
          <w:rFonts w:ascii="Century Gothic" w:hAnsi="Century Gothic" w:cs="DINPro-Light"/>
          <w:color w:val="221E1F"/>
        </w:rPr>
        <w:t>Dans le PERCO</w:t>
      </w:r>
      <w:r w:rsidR="00040CEE">
        <w:rPr>
          <w:rFonts w:ascii="Century Gothic" w:hAnsi="Century Gothic" w:cs="DINPro-Light"/>
          <w:color w:val="221E1F"/>
        </w:rPr>
        <w:t>I</w:t>
      </w:r>
      <w:r w:rsidRPr="006B6ED1">
        <w:rPr>
          <w:rFonts w:ascii="Century Gothic" w:hAnsi="Century Gothic" w:cs="DINPro-Light"/>
          <w:color w:val="221E1F"/>
        </w:rPr>
        <w:t xml:space="preserve">, les cas sont moins nombreux, </w:t>
      </w:r>
      <w:r w:rsidR="002D3DED">
        <w:rPr>
          <w:rFonts w:ascii="Century Gothic" w:hAnsi="Century Gothic" w:cs="DINPro-Light"/>
          <w:color w:val="221E1F"/>
        </w:rPr>
        <w:t xml:space="preserve">mais </w:t>
      </w:r>
      <w:r w:rsidRPr="006B6ED1">
        <w:rPr>
          <w:rFonts w:ascii="Century Gothic" w:hAnsi="Century Gothic" w:cs="DINPro-Light"/>
          <w:color w:val="221E1F"/>
        </w:rPr>
        <w:t>le cas « ach</w:t>
      </w:r>
      <w:r w:rsidR="002D3DED">
        <w:rPr>
          <w:rFonts w:ascii="Century Gothic" w:hAnsi="Century Gothic" w:cs="DINPro-Light"/>
          <w:color w:val="221E1F"/>
        </w:rPr>
        <w:t xml:space="preserve">at de la résidence principale » est apprécié. </w:t>
      </w:r>
    </w:p>
    <w:p w:rsidR="00F90F99" w:rsidRDefault="00F90F99" w:rsidP="003E16D5">
      <w:pPr>
        <w:spacing w:after="0" w:line="240" w:lineRule="auto"/>
        <w:jc w:val="both"/>
        <w:rPr>
          <w:rFonts w:ascii="Century Gothic" w:hAnsi="Century Gothic" w:cs="DINPro-Light"/>
          <w:color w:val="221E1F"/>
        </w:rPr>
      </w:pPr>
    </w:p>
    <w:p w:rsidR="00F90F99" w:rsidRDefault="00F90F99" w:rsidP="003E16D5">
      <w:pPr>
        <w:spacing w:after="0" w:line="240" w:lineRule="auto"/>
        <w:jc w:val="both"/>
        <w:rPr>
          <w:rFonts w:ascii="Century Gothic" w:hAnsi="Century Gothic" w:cs="DINPro-Light"/>
          <w:color w:val="221E1F"/>
        </w:rPr>
      </w:pPr>
      <w:r>
        <w:rPr>
          <w:rFonts w:ascii="Century Gothic" w:hAnsi="Century Gothic" w:cs="DINPro-Light"/>
          <w:color w:val="221E1F"/>
        </w:rPr>
        <w:t xml:space="preserve">Les plans d’épargne </w:t>
      </w:r>
      <w:r w:rsidRPr="00F90F99">
        <w:rPr>
          <w:rFonts w:ascii="Century Gothic" w:hAnsi="Century Gothic" w:cs="DINPro-Light"/>
          <w:color w:val="221E1F"/>
        </w:rPr>
        <w:t xml:space="preserve">salariale </w:t>
      </w:r>
      <w:r>
        <w:rPr>
          <w:rFonts w:ascii="Century Gothic" w:hAnsi="Century Gothic" w:cs="DINPro-Light"/>
          <w:color w:val="221E1F"/>
        </w:rPr>
        <w:t xml:space="preserve">permettent une sortie </w:t>
      </w:r>
      <w:r w:rsidR="00B32A9D">
        <w:rPr>
          <w:rFonts w:ascii="Century Gothic" w:hAnsi="Century Gothic" w:cs="DINPro-Light"/>
          <w:color w:val="221E1F"/>
        </w:rPr>
        <w:t xml:space="preserve">à 100% sous forme de </w:t>
      </w:r>
      <w:r>
        <w:rPr>
          <w:rFonts w:ascii="Century Gothic" w:hAnsi="Century Gothic" w:cs="DINPro-Light"/>
          <w:color w:val="221E1F"/>
        </w:rPr>
        <w:t xml:space="preserve">capital, </w:t>
      </w:r>
      <w:r w:rsidR="00B32A9D">
        <w:rPr>
          <w:rFonts w:ascii="Century Gothic" w:hAnsi="Century Gothic" w:cs="DINPro-Light"/>
          <w:color w:val="221E1F"/>
        </w:rPr>
        <w:t xml:space="preserve">non imposable. </w:t>
      </w:r>
    </w:p>
    <w:p w:rsidR="00F90F99" w:rsidRPr="003E16D5" w:rsidRDefault="00F90F99" w:rsidP="003E16D5">
      <w:pPr>
        <w:spacing w:after="0" w:line="240" w:lineRule="auto"/>
        <w:jc w:val="both"/>
        <w:rPr>
          <w:rFonts w:ascii="Century Gothic" w:hAnsi="Century Gothic" w:cs="DINPro-Light"/>
          <w:color w:val="221E1F"/>
        </w:rPr>
      </w:pPr>
    </w:p>
    <w:p w:rsidR="002C790A" w:rsidRPr="003E16D5" w:rsidRDefault="002C790A" w:rsidP="003E16D5">
      <w:pPr>
        <w:spacing w:after="0" w:line="240" w:lineRule="auto"/>
        <w:rPr>
          <w:rFonts w:ascii="Century Gothic" w:hAnsi="Century Gothic" w:cs="DINPro-Light"/>
        </w:rPr>
      </w:pPr>
    </w:p>
    <w:p w:rsidR="00F00A11" w:rsidRDefault="00F00A11" w:rsidP="003E16D5">
      <w:pPr>
        <w:spacing w:after="0" w:line="240" w:lineRule="auto"/>
        <w:rPr>
          <w:rFonts w:ascii="Century Gothic" w:hAnsi="Century Gothic" w:cs="DINPro-Light"/>
          <w:b/>
        </w:rPr>
      </w:pPr>
      <w:r w:rsidRPr="003E16D5">
        <w:rPr>
          <w:rFonts w:ascii="Century Gothic" w:hAnsi="Century Gothic" w:cs="DINPro-Light"/>
          <w:b/>
        </w:rPr>
        <w:t>2) ATTRIBUTION GR</w:t>
      </w:r>
      <w:r w:rsidR="00746D59" w:rsidRPr="003E16D5">
        <w:rPr>
          <w:rFonts w:ascii="Century Gothic" w:hAnsi="Century Gothic" w:cs="DINPro-Light"/>
          <w:b/>
        </w:rPr>
        <w:t>AT</w:t>
      </w:r>
      <w:r w:rsidR="00FB4E65">
        <w:rPr>
          <w:rFonts w:ascii="Century Gothic" w:hAnsi="Century Gothic" w:cs="DINPro-Light"/>
          <w:b/>
        </w:rPr>
        <w:t>UITE</w:t>
      </w:r>
      <w:r w:rsidRPr="003E16D5">
        <w:rPr>
          <w:rFonts w:ascii="Century Gothic" w:hAnsi="Century Gothic" w:cs="DINPro-Light"/>
          <w:b/>
        </w:rPr>
        <w:t xml:space="preserve"> </w:t>
      </w:r>
      <w:r w:rsidR="006B6ED1">
        <w:rPr>
          <w:rFonts w:ascii="Century Gothic" w:hAnsi="Century Gothic" w:cs="DINPro-Light"/>
          <w:b/>
        </w:rPr>
        <w:t>D’ACTIONS (AGA)</w:t>
      </w:r>
    </w:p>
    <w:p w:rsidR="006B6ED1" w:rsidRPr="003E16D5" w:rsidRDefault="006B6ED1" w:rsidP="003E16D5">
      <w:pPr>
        <w:spacing w:after="0" w:line="240" w:lineRule="auto"/>
        <w:rPr>
          <w:rFonts w:ascii="Century Gothic" w:hAnsi="Century Gothic" w:cs="DINPro-Light"/>
          <w:b/>
        </w:rPr>
      </w:pPr>
    </w:p>
    <w:p w:rsidR="00A2570B" w:rsidRPr="003E16D5" w:rsidRDefault="00A2570B" w:rsidP="003E16D5">
      <w:pPr>
        <w:spacing w:after="0" w:line="240" w:lineRule="auto"/>
        <w:jc w:val="both"/>
        <w:rPr>
          <w:rFonts w:ascii="Century Gothic" w:hAnsi="Century Gothic" w:cs="DINPro-Light"/>
          <w:color w:val="221E1F"/>
        </w:rPr>
      </w:pPr>
      <w:r w:rsidRPr="003E16D5">
        <w:rPr>
          <w:rFonts w:ascii="Century Gothic" w:hAnsi="Century Gothic" w:cs="DINPro-Light"/>
          <w:color w:val="221E1F"/>
        </w:rPr>
        <w:t>M. Yves DUPONT</w:t>
      </w:r>
      <w:r w:rsidRPr="003E16D5">
        <w:rPr>
          <w:rFonts w:ascii="Century Gothic" w:hAnsi="Century Gothic"/>
        </w:rPr>
        <w:t xml:space="preserve"> </w:t>
      </w:r>
      <w:r w:rsidRPr="003E16D5">
        <w:rPr>
          <w:rFonts w:ascii="Century Gothic" w:hAnsi="Century Gothic" w:cs="DINPro-Light"/>
          <w:color w:val="221E1F"/>
        </w:rPr>
        <w:t xml:space="preserve">souhaite </w:t>
      </w:r>
      <w:r w:rsidR="001A2AF4" w:rsidRPr="003E16D5">
        <w:rPr>
          <w:rFonts w:ascii="Century Gothic" w:hAnsi="Century Gothic" w:cs="DINPro-Light"/>
          <w:color w:val="221E1F"/>
        </w:rPr>
        <w:t xml:space="preserve">aller plus loin dans sa démarche au profit de ses 2 salariés les plus fidèles, le maître-ouvrier Guy et le chef d’équipe Claude. Il </w:t>
      </w:r>
      <w:r w:rsidR="001A2AF4" w:rsidRPr="003E16D5">
        <w:rPr>
          <w:rFonts w:ascii="Century Gothic" w:hAnsi="Century Gothic"/>
        </w:rPr>
        <w:t xml:space="preserve">souhaite leur attribuer gratuitement des actions existantes de l’entreprise. </w:t>
      </w:r>
    </w:p>
    <w:p w:rsidR="003E16D5" w:rsidRDefault="003E16D5" w:rsidP="003E16D5">
      <w:pPr>
        <w:spacing w:after="0" w:line="240" w:lineRule="auto"/>
        <w:jc w:val="both"/>
        <w:rPr>
          <w:rFonts w:ascii="Century Gothic" w:hAnsi="Century Gothic"/>
          <w:b/>
          <w:color w:val="00B0F0"/>
        </w:rPr>
      </w:pPr>
    </w:p>
    <w:p w:rsidR="009E20C7" w:rsidRPr="00822920" w:rsidRDefault="009E20C7" w:rsidP="003E16D5">
      <w:pPr>
        <w:spacing w:after="0" w:line="240" w:lineRule="auto"/>
        <w:jc w:val="both"/>
        <w:rPr>
          <w:rFonts w:ascii="Century Gothic" w:hAnsi="Century Gothic" w:cs="DINPro-Light"/>
          <w:color w:val="221E1F"/>
        </w:rPr>
      </w:pPr>
      <w:r w:rsidRPr="00822920">
        <w:rPr>
          <w:rFonts w:ascii="Century Gothic" w:hAnsi="Century Gothic" w:cs="DINPro-Light"/>
          <w:color w:val="221E1F"/>
        </w:rPr>
        <w:t xml:space="preserve">Pour réaliser cette attribution, il lui sera conseillé de déterminer des modalités d’attribution de ces actions gratuites. Un critère d’ancienneté dans l’entreprise </w:t>
      </w:r>
      <w:r w:rsidR="007A3003" w:rsidRPr="00822920">
        <w:rPr>
          <w:rFonts w:ascii="Century Gothic" w:hAnsi="Century Gothic" w:cs="DINPro-Light"/>
          <w:color w:val="221E1F"/>
        </w:rPr>
        <w:t xml:space="preserve">sera fixé pour désigner les bénéficiaires. Pour l’attribution définitive des actions, une condition de présence sera requise pour assurer la fidélité des salariés concernés. </w:t>
      </w:r>
    </w:p>
    <w:p w:rsidR="009E20C7" w:rsidRDefault="009E20C7" w:rsidP="006B6ED1">
      <w:pPr>
        <w:pStyle w:val="Paragraphedeliste"/>
        <w:spacing w:after="0" w:line="240" w:lineRule="auto"/>
        <w:ind w:left="0"/>
        <w:jc w:val="both"/>
        <w:rPr>
          <w:rFonts w:ascii="Century Gothic" w:hAnsi="Century Gothic"/>
        </w:rPr>
      </w:pPr>
    </w:p>
    <w:p w:rsidR="00653814" w:rsidRPr="003E16D5" w:rsidRDefault="00653814" w:rsidP="006B6ED1">
      <w:pPr>
        <w:pStyle w:val="Paragraphedeliste"/>
        <w:spacing w:after="0" w:line="240" w:lineRule="auto"/>
        <w:ind w:left="0"/>
        <w:jc w:val="both"/>
        <w:rPr>
          <w:rFonts w:ascii="Century Gothic" w:hAnsi="Century Gothic"/>
        </w:rPr>
      </w:pPr>
      <w:r w:rsidRPr="003E16D5">
        <w:rPr>
          <w:rFonts w:ascii="Century Gothic" w:hAnsi="Century Gothic"/>
        </w:rPr>
        <w:t xml:space="preserve">La livraison des actions </w:t>
      </w:r>
      <w:r w:rsidR="007A3003">
        <w:rPr>
          <w:rFonts w:ascii="Century Gothic" w:hAnsi="Century Gothic"/>
        </w:rPr>
        <w:t>sera</w:t>
      </w:r>
      <w:r w:rsidR="007A3003" w:rsidRPr="003E16D5">
        <w:rPr>
          <w:rFonts w:ascii="Century Gothic" w:hAnsi="Century Gothic"/>
        </w:rPr>
        <w:t xml:space="preserve"> </w:t>
      </w:r>
      <w:r w:rsidRPr="003E16D5">
        <w:rPr>
          <w:rFonts w:ascii="Century Gothic" w:hAnsi="Century Gothic"/>
        </w:rPr>
        <w:t xml:space="preserve">réservée aux bénéficiaires ayant conservé la qualité de salarié sans interruption pendant toute la période d’acquisition. </w:t>
      </w:r>
    </w:p>
    <w:p w:rsidR="00C94E77" w:rsidRPr="003E16D5" w:rsidRDefault="00C94E77" w:rsidP="006B6ED1">
      <w:pPr>
        <w:pStyle w:val="Paragraphedeliste"/>
        <w:spacing w:after="0" w:line="240" w:lineRule="auto"/>
        <w:ind w:left="0"/>
        <w:jc w:val="both"/>
        <w:rPr>
          <w:rFonts w:ascii="Century Gothic" w:hAnsi="Century Gothic"/>
        </w:rPr>
      </w:pPr>
    </w:p>
    <w:p w:rsidR="00653814" w:rsidRPr="003E16D5" w:rsidRDefault="00653814"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 xml:space="preserve">Bon à savoir </w:t>
      </w:r>
    </w:p>
    <w:p w:rsidR="00653814" w:rsidRPr="003E16D5" w:rsidRDefault="009E3364"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9E3364">
        <w:rPr>
          <w:rFonts w:ascii="Century Gothic" w:hAnsi="Century Gothic"/>
        </w:rPr>
        <w:t xml:space="preserve">La décision d’attribuer des actions gratuites est prise par l’assemblée générale extraordinaire des actionnaires (AGE). </w:t>
      </w:r>
      <w:r>
        <w:rPr>
          <w:rFonts w:ascii="Century Gothic" w:hAnsi="Century Gothic"/>
        </w:rPr>
        <w:t>L’AGE</w:t>
      </w:r>
      <w:r w:rsidR="00653814" w:rsidRPr="003E16D5">
        <w:rPr>
          <w:rFonts w:ascii="Century Gothic" w:hAnsi="Century Gothic"/>
        </w:rPr>
        <w:t xml:space="preserve"> peut autoriser l’AGA en faveur de l’ensemble du personnel, ou le cas échéant, de certaines catégories seulement de celui-ci, selon des critères objectifs, non restrictifs et clairement définis (par exemple : ancienneté, présence, performance…)</w:t>
      </w:r>
    </w:p>
    <w:p w:rsidR="00653814" w:rsidRPr="003E16D5" w:rsidRDefault="00653814" w:rsidP="006B6ED1">
      <w:pPr>
        <w:pStyle w:val="Paragraphedeliste"/>
        <w:spacing w:after="0" w:line="240" w:lineRule="auto"/>
        <w:ind w:left="357"/>
        <w:jc w:val="both"/>
        <w:rPr>
          <w:rFonts w:ascii="Century Gothic" w:hAnsi="Century Gothic"/>
        </w:rPr>
      </w:pPr>
    </w:p>
    <w:p w:rsidR="0053246A" w:rsidRPr="003E16D5" w:rsidRDefault="001A2AF4" w:rsidP="006B6ED1">
      <w:pPr>
        <w:pStyle w:val="Paragraphedeliste"/>
        <w:numPr>
          <w:ilvl w:val="0"/>
          <w:numId w:val="4"/>
        </w:numPr>
        <w:spacing w:after="0" w:line="240" w:lineRule="auto"/>
        <w:ind w:left="357" w:hanging="357"/>
        <w:jc w:val="both"/>
        <w:rPr>
          <w:rFonts w:ascii="Century Gothic" w:hAnsi="Century Gothic"/>
        </w:rPr>
      </w:pPr>
      <w:r w:rsidRPr="003E16D5">
        <w:rPr>
          <w:rFonts w:ascii="Century Gothic" w:hAnsi="Century Gothic" w:cs="DINPro-Light"/>
          <w:color w:val="221E1F"/>
        </w:rPr>
        <w:t>M. Yves DUPONT</w:t>
      </w:r>
      <w:r w:rsidRPr="003E16D5">
        <w:rPr>
          <w:rFonts w:ascii="Century Gothic" w:hAnsi="Century Gothic"/>
        </w:rPr>
        <w:t xml:space="preserve"> </w:t>
      </w:r>
      <w:r w:rsidRPr="003E16D5">
        <w:rPr>
          <w:rFonts w:ascii="Century Gothic" w:hAnsi="Century Gothic" w:cs="DINPro-Light"/>
          <w:color w:val="221E1F"/>
        </w:rPr>
        <w:t xml:space="preserve">envisage </w:t>
      </w:r>
      <w:r w:rsidR="00621176" w:rsidRPr="003E16D5">
        <w:rPr>
          <w:rFonts w:ascii="Century Gothic" w:hAnsi="Century Gothic" w:cs="DINPro-Light"/>
          <w:color w:val="221E1F"/>
        </w:rPr>
        <w:t xml:space="preserve">d’attribuer 2% à chacun de ses hommes clés (Guy et Claude). </w:t>
      </w:r>
    </w:p>
    <w:p w:rsidR="00653814" w:rsidRPr="003E16D5" w:rsidRDefault="00653814" w:rsidP="006B6ED1">
      <w:pPr>
        <w:pStyle w:val="Paragraphedeliste"/>
        <w:spacing w:after="0" w:line="240" w:lineRule="auto"/>
        <w:ind w:left="357"/>
        <w:jc w:val="both"/>
        <w:rPr>
          <w:rFonts w:ascii="Century Gothic" w:hAnsi="Century Gothic"/>
        </w:rPr>
      </w:pPr>
    </w:p>
    <w:p w:rsidR="00653814" w:rsidRPr="003E16D5" w:rsidRDefault="00653814"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b/>
        </w:rPr>
      </w:pPr>
      <w:r w:rsidRPr="003E16D5">
        <w:rPr>
          <w:rFonts w:ascii="Century Gothic" w:hAnsi="Century Gothic"/>
          <w:b/>
        </w:rPr>
        <w:t xml:space="preserve">Limites d’attribution </w:t>
      </w:r>
    </w:p>
    <w:p w:rsidR="00154988" w:rsidRPr="003E16D5" w:rsidRDefault="00154988"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i/>
        </w:rPr>
      </w:pPr>
      <w:r w:rsidRPr="003E16D5">
        <w:rPr>
          <w:rFonts w:ascii="Century Gothic" w:hAnsi="Century Gothic"/>
          <w:i/>
        </w:rPr>
        <w:t>Limites individuelles au niveau des bénéficiaires</w:t>
      </w:r>
    </w:p>
    <w:p w:rsidR="00154988" w:rsidRPr="003E16D5" w:rsidRDefault="00154988"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lastRenderedPageBreak/>
        <w:t xml:space="preserve">Il ne peut pas être attribué d'actions gratuites aux salariés détenant chacun plus de 10 % du capital social et, de surcroît, une attribution d'actions gratuites ne peut avoir pour effet pour les intéressés de détenir chacun plus de 10 % du capital social. </w:t>
      </w:r>
    </w:p>
    <w:p w:rsidR="00154988" w:rsidRPr="003E16D5" w:rsidRDefault="00154988"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i/>
        </w:rPr>
      </w:pPr>
      <w:r w:rsidRPr="003E16D5">
        <w:rPr>
          <w:rFonts w:ascii="Century Gothic" w:hAnsi="Century Gothic"/>
          <w:i/>
        </w:rPr>
        <w:t>Limites globale</w:t>
      </w:r>
      <w:r w:rsidR="00945332">
        <w:rPr>
          <w:rFonts w:ascii="Century Gothic" w:hAnsi="Century Gothic"/>
          <w:i/>
        </w:rPr>
        <w:t>s</w:t>
      </w:r>
      <w:r w:rsidRPr="003E16D5">
        <w:rPr>
          <w:rFonts w:ascii="Century Gothic" w:hAnsi="Century Gothic"/>
          <w:i/>
        </w:rPr>
        <w:t xml:space="preserve"> au niveau de la société</w:t>
      </w:r>
    </w:p>
    <w:p w:rsidR="00154988" w:rsidRPr="003E16D5" w:rsidRDefault="00653814"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i/>
        </w:rPr>
      </w:pPr>
      <w:r w:rsidRPr="003E16D5">
        <w:rPr>
          <w:rFonts w:ascii="Century Gothic" w:hAnsi="Century Gothic"/>
        </w:rPr>
        <w:t xml:space="preserve">Le nombre total des actions gratuites attribuées ne </w:t>
      </w:r>
      <w:r w:rsidR="00154988" w:rsidRPr="003E16D5">
        <w:rPr>
          <w:rFonts w:ascii="Century Gothic" w:hAnsi="Century Gothic"/>
        </w:rPr>
        <w:t xml:space="preserve">peut pas excéder 10% du capital </w:t>
      </w:r>
      <w:r w:rsidRPr="003E16D5">
        <w:rPr>
          <w:rFonts w:ascii="Century Gothic" w:hAnsi="Century Gothic"/>
        </w:rPr>
        <w:t>s</w:t>
      </w:r>
      <w:r w:rsidR="00676184" w:rsidRPr="003E16D5">
        <w:rPr>
          <w:rFonts w:ascii="Century Gothic" w:hAnsi="Century Gothic"/>
        </w:rPr>
        <w:t xml:space="preserve">ocial de la société émettrice. </w:t>
      </w:r>
      <w:r w:rsidR="00154988" w:rsidRPr="003E16D5">
        <w:rPr>
          <w:rFonts w:ascii="Century Gothic" w:hAnsi="Century Gothic"/>
        </w:rPr>
        <w:t xml:space="preserve">Les statuts peuvent prévoir un pourcentage plus élevé dans le cas d'attributions à certaines catégories du personnel salarié d’une PME, qui ne peut toutefois excéder 15 % du capital social. </w:t>
      </w:r>
    </w:p>
    <w:p w:rsidR="00154988" w:rsidRPr="003E16D5" w:rsidRDefault="00154988"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Ces seuils sont portés à 30% lorsque l’attribution bénéficie à tous les salariés.</w:t>
      </w:r>
    </w:p>
    <w:p w:rsidR="00653814" w:rsidRPr="003E16D5" w:rsidRDefault="00154988" w:rsidP="006B6ED1">
      <w:pPr>
        <w:pBdr>
          <w:top w:val="single" w:sz="4" w:space="1" w:color="auto"/>
          <w:left w:val="single" w:sz="4" w:space="4"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Par ailleurs, l'écart entre le nombre d'actions distribuées à chaque salarié ne peut pas être supérieur à un rapport de 1 à 5.</w:t>
      </w:r>
    </w:p>
    <w:p w:rsidR="0053246A" w:rsidRPr="003E16D5" w:rsidRDefault="0053246A" w:rsidP="001C2B7F">
      <w:pPr>
        <w:pStyle w:val="Paragraphedeliste"/>
        <w:ind w:left="0"/>
        <w:jc w:val="both"/>
        <w:rPr>
          <w:rFonts w:ascii="Century Gothic" w:hAnsi="Century Gothic"/>
        </w:rPr>
      </w:pPr>
    </w:p>
    <w:p w:rsidR="004924C3" w:rsidRPr="003E16D5" w:rsidRDefault="00577686" w:rsidP="004924C3">
      <w:pPr>
        <w:pStyle w:val="Paragraphedeliste"/>
        <w:numPr>
          <w:ilvl w:val="0"/>
          <w:numId w:val="3"/>
        </w:numPr>
        <w:jc w:val="both"/>
        <w:rPr>
          <w:rFonts w:ascii="Century Gothic" w:hAnsi="Century Gothic"/>
          <w:b/>
        </w:rPr>
      </w:pPr>
      <w:r w:rsidRPr="003E16D5">
        <w:rPr>
          <w:rFonts w:ascii="Century Gothic" w:hAnsi="Century Gothic"/>
          <w:b/>
        </w:rPr>
        <w:t>Respecter une p</w:t>
      </w:r>
      <w:r w:rsidR="004924C3" w:rsidRPr="003E16D5">
        <w:rPr>
          <w:rFonts w:ascii="Century Gothic" w:hAnsi="Century Gothic"/>
          <w:b/>
        </w:rPr>
        <w:t>ériode d’indisponibilité</w:t>
      </w:r>
      <w:r w:rsidR="00823535">
        <w:rPr>
          <w:rFonts w:ascii="Century Gothic" w:hAnsi="Century Gothic"/>
          <w:b/>
        </w:rPr>
        <w:t xml:space="preserve"> </w:t>
      </w:r>
      <w:r w:rsidR="00823535" w:rsidRPr="00172223">
        <w:rPr>
          <w:rFonts w:ascii="Century Gothic" w:hAnsi="Century Gothic"/>
        </w:rPr>
        <w:t>(périodes d’acquisition + conservation)</w:t>
      </w:r>
    </w:p>
    <w:p w:rsidR="00E16F2B" w:rsidRPr="003E16D5" w:rsidRDefault="004924C3" w:rsidP="00E16F2B">
      <w:pPr>
        <w:jc w:val="both"/>
        <w:rPr>
          <w:rFonts w:ascii="Century Gothic" w:hAnsi="Century Gothic"/>
        </w:rPr>
      </w:pPr>
      <w:r w:rsidRPr="003E16D5">
        <w:rPr>
          <w:rFonts w:ascii="Century Gothic" w:hAnsi="Century Gothic"/>
        </w:rPr>
        <w:t xml:space="preserve">Le bénéficiaire ne devient propriétaire des titres qu’au terme d’une </w:t>
      </w:r>
      <w:r w:rsidRPr="00823535">
        <w:rPr>
          <w:rFonts w:ascii="Century Gothic" w:hAnsi="Century Gothic"/>
          <w:b/>
        </w:rPr>
        <w:t>période dite d’acquisition</w:t>
      </w:r>
      <w:r w:rsidR="00E16F2B" w:rsidRPr="003E16D5">
        <w:rPr>
          <w:rFonts w:ascii="Century Gothic" w:hAnsi="Century Gothic"/>
        </w:rPr>
        <w:t>.</w:t>
      </w:r>
      <w:r w:rsidRPr="003E16D5">
        <w:rPr>
          <w:rFonts w:ascii="Century Gothic" w:hAnsi="Century Gothic"/>
        </w:rPr>
        <w:t xml:space="preserve"> </w:t>
      </w:r>
      <w:r w:rsidR="00E16F2B" w:rsidRPr="003E16D5">
        <w:rPr>
          <w:rFonts w:ascii="Century Gothic" w:hAnsi="Century Gothic"/>
        </w:rPr>
        <w:t xml:space="preserve">La durée minimale de la période d’acquisition est déterminée par l’AGE mais ne peut être inférieure à un an (au lieu de 2 ans avant la loi </w:t>
      </w:r>
      <w:r w:rsidR="00823535" w:rsidRPr="003E16D5">
        <w:rPr>
          <w:rFonts w:ascii="Century Gothic" w:hAnsi="Century Gothic" w:cs="DINPro-Light"/>
        </w:rPr>
        <w:t>croissance et activité « loi Macron » d’ao</w:t>
      </w:r>
      <w:r w:rsidR="00945332">
        <w:rPr>
          <w:rFonts w:ascii="Century Gothic" w:hAnsi="Century Gothic" w:cs="DINPro-Light"/>
        </w:rPr>
        <w:t>û</w:t>
      </w:r>
      <w:r w:rsidR="00823535" w:rsidRPr="003E16D5">
        <w:rPr>
          <w:rFonts w:ascii="Century Gothic" w:hAnsi="Century Gothic" w:cs="DINPro-Light"/>
        </w:rPr>
        <w:t>t 2015</w:t>
      </w:r>
      <w:r w:rsidR="00E16F2B" w:rsidRPr="003E16D5">
        <w:rPr>
          <w:rFonts w:ascii="Century Gothic" w:hAnsi="Century Gothic"/>
        </w:rPr>
        <w:t xml:space="preserve">). Au terme de cette période d’acquisition, le bénéficiaire est propriétaire des actions. </w:t>
      </w:r>
    </w:p>
    <w:p w:rsidR="00DB15C4" w:rsidRPr="003E16D5" w:rsidRDefault="002B09BE" w:rsidP="002B09BE">
      <w:pPr>
        <w:jc w:val="both"/>
        <w:rPr>
          <w:rFonts w:ascii="Century Gothic" w:hAnsi="Century Gothic"/>
        </w:rPr>
      </w:pPr>
      <w:r w:rsidRPr="003E16D5">
        <w:rPr>
          <w:rFonts w:ascii="Century Gothic" w:hAnsi="Century Gothic"/>
        </w:rPr>
        <w:t xml:space="preserve">Mais il ne peut pleinement en disposer qu’à l’issue d’une </w:t>
      </w:r>
      <w:r w:rsidRPr="00823535">
        <w:rPr>
          <w:rFonts w:ascii="Century Gothic" w:hAnsi="Century Gothic"/>
          <w:b/>
        </w:rPr>
        <w:t>période de conservation</w:t>
      </w:r>
      <w:r w:rsidRPr="003E16D5">
        <w:rPr>
          <w:rFonts w:ascii="Century Gothic" w:hAnsi="Century Gothic"/>
        </w:rPr>
        <w:t xml:space="preserve">. </w:t>
      </w:r>
      <w:r w:rsidR="00C938AE" w:rsidRPr="003E16D5">
        <w:rPr>
          <w:rFonts w:ascii="Century Gothic" w:hAnsi="Century Gothic"/>
        </w:rPr>
        <w:t>Depuis la loi Macron, l’AGE n’est pas tenue de prévoir une période minimale de conservation, cette dernière étant devenue facultative. Néanmoins, la durée cumulée des périodes d’acquisition et de conservation des actions ne peut être inférieur</w:t>
      </w:r>
      <w:r w:rsidR="00CF50F2">
        <w:rPr>
          <w:rFonts w:ascii="Century Gothic" w:hAnsi="Century Gothic"/>
        </w:rPr>
        <w:t>e</w:t>
      </w:r>
      <w:r w:rsidR="00C938AE" w:rsidRPr="003E16D5">
        <w:rPr>
          <w:rFonts w:ascii="Century Gothic" w:hAnsi="Century Gothic"/>
        </w:rPr>
        <w:t xml:space="preserve"> à 2 ans. </w:t>
      </w:r>
    </w:p>
    <w:p w:rsidR="000B3FEF" w:rsidRPr="003E16D5" w:rsidRDefault="00DB15C4" w:rsidP="002B09BE">
      <w:pPr>
        <w:jc w:val="both"/>
        <w:rPr>
          <w:rFonts w:ascii="Century Gothic" w:hAnsi="Century Gothic"/>
        </w:rPr>
      </w:pPr>
      <w:r w:rsidRPr="003E16D5">
        <w:rPr>
          <w:rFonts w:ascii="Century Gothic" w:hAnsi="Century Gothic"/>
        </w:rPr>
        <w:t>Ce n’est donc qu’au terme de ce</w:t>
      </w:r>
      <w:r w:rsidR="00CA1611" w:rsidRPr="003E16D5">
        <w:rPr>
          <w:rFonts w:ascii="Century Gothic" w:hAnsi="Century Gothic"/>
        </w:rPr>
        <w:t>s</w:t>
      </w:r>
      <w:r w:rsidRPr="003E16D5">
        <w:rPr>
          <w:rFonts w:ascii="Century Gothic" w:hAnsi="Century Gothic"/>
        </w:rPr>
        <w:t xml:space="preserve"> délai</w:t>
      </w:r>
      <w:r w:rsidR="00CA1611" w:rsidRPr="003E16D5">
        <w:rPr>
          <w:rFonts w:ascii="Century Gothic" w:hAnsi="Century Gothic"/>
        </w:rPr>
        <w:t>s</w:t>
      </w:r>
      <w:r w:rsidR="00994556" w:rsidRPr="003E16D5">
        <w:rPr>
          <w:rFonts w:ascii="Century Gothic" w:hAnsi="Century Gothic"/>
        </w:rPr>
        <w:t xml:space="preserve"> que les bénéficiaires des </w:t>
      </w:r>
      <w:r w:rsidRPr="003E16D5">
        <w:rPr>
          <w:rFonts w:ascii="Century Gothic" w:hAnsi="Century Gothic"/>
        </w:rPr>
        <w:t>actions attribuées gratuitement pourront les céder.</w:t>
      </w:r>
    </w:p>
    <w:p w:rsidR="000B3FEF" w:rsidRPr="00822920" w:rsidRDefault="000B3FEF" w:rsidP="00822920">
      <w:pPr>
        <w:pStyle w:val="Paragraphedeliste"/>
        <w:numPr>
          <w:ilvl w:val="0"/>
          <w:numId w:val="3"/>
        </w:numPr>
        <w:jc w:val="both"/>
        <w:rPr>
          <w:rFonts w:ascii="Century Gothic" w:hAnsi="Century Gothic"/>
          <w:b/>
        </w:rPr>
      </w:pPr>
      <w:r w:rsidRPr="00822920">
        <w:rPr>
          <w:rFonts w:ascii="Century Gothic" w:hAnsi="Century Gothic"/>
          <w:b/>
        </w:rPr>
        <w:t xml:space="preserve">Quelle fiscalité pour les entreprises et les bénéficiaires ? </w:t>
      </w:r>
    </w:p>
    <w:p w:rsidR="000B3FEF" w:rsidRPr="003E16D5" w:rsidRDefault="000B3FEF" w:rsidP="000B3FEF">
      <w:pPr>
        <w:jc w:val="both"/>
        <w:rPr>
          <w:rFonts w:ascii="Century Gothic" w:hAnsi="Century Gothic" w:cs="DINPro-Light"/>
        </w:rPr>
      </w:pPr>
      <w:r w:rsidRPr="003E16D5">
        <w:rPr>
          <w:rFonts w:ascii="Century Gothic" w:hAnsi="Century Gothic" w:cs="DINPro-Light"/>
        </w:rPr>
        <w:t xml:space="preserve">Le dispositif d’attribution gratuite d’actions, dit AGA, a été amélioré par la loi Macron afin de le rendre plus attractif. Ce régime a toutefois été durci par la loi de finances pour 2017. </w:t>
      </w:r>
    </w:p>
    <w:p w:rsidR="000B3FEF" w:rsidRPr="003E16D5" w:rsidRDefault="000B3FEF" w:rsidP="000B3FEF">
      <w:pPr>
        <w:jc w:val="both"/>
        <w:rPr>
          <w:rFonts w:ascii="Century Gothic" w:hAnsi="Century Gothic" w:cs="DINPro-Light"/>
        </w:rPr>
      </w:pPr>
      <w:r w:rsidRPr="003E16D5">
        <w:rPr>
          <w:rFonts w:ascii="Century Gothic" w:hAnsi="Century Gothic" w:cs="DINPro-Light"/>
        </w:rPr>
        <w:t xml:space="preserve">Cet outil souffre de l’instabilité règlementaire : </w:t>
      </w:r>
    </w:p>
    <w:p w:rsidR="000B3FEF" w:rsidRPr="003E16D5" w:rsidRDefault="000B3FEF" w:rsidP="000B3FEF">
      <w:pPr>
        <w:jc w:val="both"/>
        <w:rPr>
          <w:rFonts w:ascii="Century Gothic" w:hAnsi="Century Gothic"/>
          <w:b/>
          <w:u w:val="single"/>
        </w:rPr>
      </w:pPr>
      <w:r w:rsidRPr="003E16D5">
        <w:rPr>
          <w:rFonts w:ascii="Century Gothic" w:hAnsi="Century Gothic"/>
        </w:rPr>
        <w:t>Synthèse des taux marginaux d’imposition applicables au gain d’acquisition</w:t>
      </w:r>
      <w:r w:rsidRPr="003E16D5">
        <w:rPr>
          <w:rFonts w:ascii="Century Gothic" w:hAnsi="Century Gothic"/>
          <w:b/>
        </w:rPr>
        <w:t xml:space="preserve"> </w:t>
      </w:r>
      <w:r w:rsidRPr="003E16D5">
        <w:rPr>
          <w:rFonts w:ascii="Century Gothic" w:hAnsi="Century Gothic"/>
        </w:rPr>
        <w:t>constaté par un résident français soumis à l'IR au taux marginal de 45%</w:t>
      </w:r>
      <w:r w:rsidR="007511E7">
        <w:rPr>
          <w:rFonts w:ascii="Century Gothic" w:hAnsi="Century Gothic"/>
        </w:rPr>
        <w:t xml:space="preserve"> </w:t>
      </w:r>
      <w:r w:rsidRPr="003E16D5">
        <w:rPr>
          <w:rFonts w:ascii="Century Gothic" w:hAnsi="Century Gothic"/>
        </w:rPr>
        <w:t>(hors impact éventuel de la contribution exceptionnelle sur les hauts revenus)</w:t>
      </w:r>
    </w:p>
    <w:tbl>
      <w:tblPr>
        <w:tblStyle w:val="Grilledutableau"/>
        <w:tblW w:w="9634" w:type="dxa"/>
        <w:tblLayout w:type="fixed"/>
        <w:tblLook w:val="04A0" w:firstRow="1" w:lastRow="0" w:firstColumn="1" w:lastColumn="0" w:noHBand="0" w:noVBand="1"/>
      </w:tblPr>
      <w:tblGrid>
        <w:gridCol w:w="1555"/>
        <w:gridCol w:w="1417"/>
        <w:gridCol w:w="1418"/>
        <w:gridCol w:w="1559"/>
        <w:gridCol w:w="1701"/>
        <w:gridCol w:w="1984"/>
      </w:tblGrid>
      <w:tr w:rsidR="000B3FEF" w:rsidRPr="003E16D5" w:rsidTr="00142D5A">
        <w:tc>
          <w:tcPr>
            <w:tcW w:w="1555" w:type="dxa"/>
          </w:tcPr>
          <w:p w:rsidR="000B3FEF" w:rsidRPr="003E16D5" w:rsidRDefault="000B3FEF" w:rsidP="00172223">
            <w:pPr>
              <w:rPr>
                <w:rFonts w:ascii="Century Gothic" w:hAnsi="Century Gothic"/>
              </w:rPr>
            </w:pPr>
          </w:p>
        </w:tc>
        <w:tc>
          <w:tcPr>
            <w:tcW w:w="2835" w:type="dxa"/>
            <w:gridSpan w:val="2"/>
          </w:tcPr>
          <w:p w:rsidR="000B3FEF" w:rsidRPr="003E16D5" w:rsidRDefault="000B3FEF" w:rsidP="00172223">
            <w:pPr>
              <w:jc w:val="center"/>
              <w:rPr>
                <w:rFonts w:ascii="Century Gothic" w:hAnsi="Century Gothic"/>
                <w:b/>
              </w:rPr>
            </w:pPr>
            <w:r w:rsidRPr="003E16D5">
              <w:rPr>
                <w:rFonts w:ascii="Century Gothic" w:hAnsi="Century Gothic"/>
                <w:b/>
              </w:rPr>
              <w:t>Régime  « pré-loi Macron »</w:t>
            </w:r>
          </w:p>
        </w:tc>
        <w:tc>
          <w:tcPr>
            <w:tcW w:w="1559" w:type="dxa"/>
          </w:tcPr>
          <w:p w:rsidR="000B3FEF" w:rsidRPr="003E16D5" w:rsidRDefault="000B3FEF" w:rsidP="00172223">
            <w:pPr>
              <w:jc w:val="center"/>
              <w:rPr>
                <w:rFonts w:ascii="Century Gothic" w:hAnsi="Century Gothic"/>
                <w:b/>
              </w:rPr>
            </w:pPr>
            <w:r w:rsidRPr="003E16D5">
              <w:rPr>
                <w:rFonts w:ascii="Century Gothic" w:hAnsi="Century Gothic"/>
                <w:b/>
              </w:rPr>
              <w:t>Régime post Loi Macron</w:t>
            </w:r>
          </w:p>
        </w:tc>
        <w:tc>
          <w:tcPr>
            <w:tcW w:w="3685" w:type="dxa"/>
            <w:gridSpan w:val="2"/>
          </w:tcPr>
          <w:p w:rsidR="000B3FEF" w:rsidRPr="003E16D5" w:rsidRDefault="000B3FEF" w:rsidP="00172223">
            <w:pPr>
              <w:jc w:val="center"/>
              <w:rPr>
                <w:rFonts w:ascii="Century Gothic" w:hAnsi="Century Gothic"/>
                <w:b/>
              </w:rPr>
            </w:pPr>
            <w:r w:rsidRPr="003E16D5">
              <w:rPr>
                <w:rFonts w:ascii="Century Gothic" w:hAnsi="Century Gothic"/>
                <w:b/>
              </w:rPr>
              <w:t>Régime Loi de Finances 2017</w:t>
            </w:r>
          </w:p>
        </w:tc>
      </w:tr>
      <w:tr w:rsidR="000B3FEF" w:rsidRPr="003E16D5" w:rsidTr="00142D5A">
        <w:trPr>
          <w:trHeight w:val="1326"/>
        </w:trPr>
        <w:tc>
          <w:tcPr>
            <w:tcW w:w="1555" w:type="dxa"/>
          </w:tcPr>
          <w:p w:rsidR="000B3FEF" w:rsidRPr="003E16D5" w:rsidRDefault="000B3FEF" w:rsidP="00172223">
            <w:pPr>
              <w:rPr>
                <w:rFonts w:ascii="Century Gothic" w:hAnsi="Century Gothic"/>
              </w:rPr>
            </w:pPr>
            <w:r w:rsidRPr="003E16D5">
              <w:rPr>
                <w:rFonts w:ascii="Century Gothic" w:hAnsi="Century Gothic"/>
              </w:rPr>
              <w:t>Actions attribuées…</w:t>
            </w:r>
          </w:p>
        </w:tc>
        <w:tc>
          <w:tcPr>
            <w:tcW w:w="1417" w:type="dxa"/>
          </w:tcPr>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r w:rsidRPr="003E16D5">
              <w:rPr>
                <w:rFonts w:ascii="Century Gothic" w:hAnsi="Century Gothic"/>
              </w:rPr>
              <w:t>du 11/07/2012 au 27/09/2012</w:t>
            </w:r>
          </w:p>
        </w:tc>
        <w:tc>
          <w:tcPr>
            <w:tcW w:w="1418" w:type="dxa"/>
          </w:tcPr>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r w:rsidRPr="003E16D5">
              <w:rPr>
                <w:rFonts w:ascii="Century Gothic" w:hAnsi="Century Gothic"/>
              </w:rPr>
              <w:t>du 28/09/2012 au 07/08/2015</w:t>
            </w:r>
          </w:p>
        </w:tc>
        <w:tc>
          <w:tcPr>
            <w:tcW w:w="1559" w:type="dxa"/>
          </w:tcPr>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r w:rsidRPr="003E16D5">
              <w:rPr>
                <w:rFonts w:ascii="Century Gothic" w:hAnsi="Century Gothic"/>
              </w:rPr>
              <w:t>du 08/08/2015 au 30/12/2016</w:t>
            </w:r>
          </w:p>
        </w:tc>
        <w:tc>
          <w:tcPr>
            <w:tcW w:w="3685" w:type="dxa"/>
            <w:gridSpan w:val="2"/>
          </w:tcPr>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r w:rsidRPr="003E16D5">
              <w:rPr>
                <w:rFonts w:ascii="Century Gothic" w:hAnsi="Century Gothic"/>
              </w:rPr>
              <w:t>depuis le 31/12/2016</w:t>
            </w:r>
          </w:p>
        </w:tc>
      </w:tr>
      <w:tr w:rsidR="000B3FEF" w:rsidRPr="003E16D5" w:rsidTr="00142D5A">
        <w:tc>
          <w:tcPr>
            <w:tcW w:w="1555" w:type="dxa"/>
          </w:tcPr>
          <w:p w:rsidR="000B3FEF" w:rsidRPr="003E16D5" w:rsidRDefault="000B3FEF" w:rsidP="00172223">
            <w:pPr>
              <w:rPr>
                <w:rFonts w:ascii="Century Gothic" w:hAnsi="Century Gothic"/>
              </w:rPr>
            </w:pPr>
          </w:p>
        </w:tc>
        <w:tc>
          <w:tcPr>
            <w:tcW w:w="1417" w:type="dxa"/>
          </w:tcPr>
          <w:p w:rsidR="000B3FEF" w:rsidRPr="003E16D5" w:rsidRDefault="000B3FEF" w:rsidP="00172223">
            <w:pPr>
              <w:rPr>
                <w:rFonts w:ascii="Century Gothic" w:hAnsi="Century Gothic"/>
              </w:rPr>
            </w:pPr>
          </w:p>
        </w:tc>
        <w:tc>
          <w:tcPr>
            <w:tcW w:w="1418" w:type="dxa"/>
          </w:tcPr>
          <w:p w:rsidR="000B3FEF" w:rsidRPr="003E16D5" w:rsidRDefault="000B3FEF" w:rsidP="00172223">
            <w:pPr>
              <w:rPr>
                <w:rFonts w:ascii="Century Gothic" w:hAnsi="Century Gothic"/>
              </w:rPr>
            </w:pPr>
          </w:p>
        </w:tc>
        <w:tc>
          <w:tcPr>
            <w:tcW w:w="1559" w:type="dxa"/>
          </w:tcPr>
          <w:p w:rsidR="000B3FEF" w:rsidRPr="003E16D5" w:rsidRDefault="000B3FEF" w:rsidP="00172223">
            <w:pPr>
              <w:rPr>
                <w:rFonts w:ascii="Century Gothic" w:hAnsi="Century Gothic"/>
              </w:rPr>
            </w:pPr>
          </w:p>
        </w:tc>
        <w:tc>
          <w:tcPr>
            <w:tcW w:w="1701" w:type="dxa"/>
          </w:tcPr>
          <w:p w:rsidR="000B3FEF" w:rsidRPr="003E16D5" w:rsidRDefault="000B3FEF" w:rsidP="00172223">
            <w:pPr>
              <w:rPr>
                <w:rFonts w:ascii="Century Gothic" w:hAnsi="Century Gothic"/>
              </w:rPr>
            </w:pPr>
            <w:r w:rsidRPr="003E16D5">
              <w:rPr>
                <w:rFonts w:ascii="Century Gothic" w:hAnsi="Century Gothic"/>
              </w:rPr>
              <w:t>Gain d’acquisition ≤ à 300 k€ /an</w:t>
            </w:r>
          </w:p>
        </w:tc>
        <w:tc>
          <w:tcPr>
            <w:tcW w:w="1984" w:type="dxa"/>
          </w:tcPr>
          <w:p w:rsidR="000B3FEF" w:rsidRPr="003E16D5" w:rsidRDefault="000B3FEF" w:rsidP="00172223">
            <w:pPr>
              <w:rPr>
                <w:rFonts w:ascii="Century Gothic" w:hAnsi="Century Gothic"/>
              </w:rPr>
            </w:pPr>
            <w:r w:rsidRPr="003E16D5">
              <w:rPr>
                <w:rFonts w:ascii="Century Gothic" w:hAnsi="Century Gothic"/>
              </w:rPr>
              <w:t>Gain d’acquisition &gt; 300 k€ /an</w:t>
            </w:r>
          </w:p>
        </w:tc>
      </w:tr>
      <w:tr w:rsidR="000B3FEF" w:rsidRPr="003E16D5" w:rsidTr="00142D5A">
        <w:tc>
          <w:tcPr>
            <w:tcW w:w="1555" w:type="dxa"/>
          </w:tcPr>
          <w:p w:rsidR="000B3FEF" w:rsidRPr="003E16D5" w:rsidRDefault="000B3FEF" w:rsidP="00172223">
            <w:pPr>
              <w:rPr>
                <w:rFonts w:ascii="Century Gothic" w:hAnsi="Century Gothic"/>
                <w:b/>
              </w:rPr>
            </w:pPr>
            <w:r w:rsidRPr="003E16D5">
              <w:rPr>
                <w:rFonts w:ascii="Century Gothic" w:hAnsi="Century Gothic"/>
                <w:b/>
              </w:rPr>
              <w:lastRenderedPageBreak/>
              <w:t>IR</w:t>
            </w:r>
          </w:p>
        </w:tc>
        <w:tc>
          <w:tcPr>
            <w:tcW w:w="1417" w:type="dxa"/>
          </w:tcPr>
          <w:p w:rsidR="000B3FEF" w:rsidRDefault="000B3FEF" w:rsidP="00172223">
            <w:pPr>
              <w:rPr>
                <w:rFonts w:ascii="Century Gothic" w:hAnsi="Century Gothic"/>
              </w:rPr>
            </w:pPr>
            <w:r w:rsidRPr="003E16D5">
              <w:rPr>
                <w:rFonts w:ascii="Century Gothic" w:hAnsi="Century Gothic"/>
              </w:rPr>
              <w:t>30%</w:t>
            </w:r>
          </w:p>
          <w:p w:rsidR="003B3CCF" w:rsidRPr="003E16D5" w:rsidRDefault="003B3CCF" w:rsidP="00172223">
            <w:pPr>
              <w:rPr>
                <w:rFonts w:ascii="Century Gothic" w:hAnsi="Century Gothic"/>
              </w:rPr>
            </w:pPr>
            <w:r>
              <w:rPr>
                <w:rFonts w:ascii="Century Gothic" w:hAnsi="Century Gothic"/>
              </w:rPr>
              <w:t>(forfait)</w:t>
            </w:r>
          </w:p>
        </w:tc>
        <w:tc>
          <w:tcPr>
            <w:tcW w:w="1418" w:type="dxa"/>
          </w:tcPr>
          <w:p w:rsidR="000B3FEF" w:rsidRPr="003E16D5" w:rsidRDefault="000B3FEF" w:rsidP="00172223">
            <w:pPr>
              <w:rPr>
                <w:rFonts w:ascii="Century Gothic" w:hAnsi="Century Gothic"/>
              </w:rPr>
            </w:pPr>
            <w:r w:rsidRPr="003E16D5">
              <w:rPr>
                <w:rFonts w:ascii="Century Gothic" w:hAnsi="Century Gothic"/>
              </w:rPr>
              <w:t>45%</w:t>
            </w:r>
          </w:p>
        </w:tc>
        <w:tc>
          <w:tcPr>
            <w:tcW w:w="1559" w:type="dxa"/>
          </w:tcPr>
          <w:p w:rsidR="000B3FEF" w:rsidRPr="003E16D5" w:rsidRDefault="000B3FEF" w:rsidP="00172223">
            <w:pPr>
              <w:rPr>
                <w:rFonts w:ascii="Century Gothic" w:hAnsi="Century Gothic"/>
              </w:rPr>
            </w:pPr>
            <w:r w:rsidRPr="003E16D5">
              <w:rPr>
                <w:rFonts w:ascii="Century Gothic" w:hAnsi="Century Gothic"/>
              </w:rPr>
              <w:t>45%</w:t>
            </w:r>
          </w:p>
          <w:p w:rsidR="000B3FEF" w:rsidRPr="003E16D5" w:rsidRDefault="000B3FEF" w:rsidP="00172223">
            <w:pPr>
              <w:rPr>
                <w:rFonts w:ascii="Century Gothic" w:hAnsi="Century Gothic"/>
              </w:rPr>
            </w:pPr>
            <w:r w:rsidRPr="003E16D5">
              <w:rPr>
                <w:rFonts w:ascii="Century Gothic" w:hAnsi="Century Gothic"/>
              </w:rPr>
              <w:t>22,50%</w:t>
            </w:r>
          </w:p>
          <w:p w:rsidR="000B3FEF" w:rsidRPr="003E16D5" w:rsidRDefault="000B3FEF" w:rsidP="00172223">
            <w:pPr>
              <w:rPr>
                <w:rFonts w:ascii="Century Gothic" w:hAnsi="Century Gothic"/>
              </w:rPr>
            </w:pPr>
            <w:r w:rsidRPr="003E16D5">
              <w:rPr>
                <w:rFonts w:ascii="Century Gothic" w:hAnsi="Century Gothic"/>
              </w:rPr>
              <w:t>15,75%</w:t>
            </w:r>
          </w:p>
        </w:tc>
        <w:tc>
          <w:tcPr>
            <w:tcW w:w="1701" w:type="dxa"/>
          </w:tcPr>
          <w:p w:rsidR="000B3FEF" w:rsidRPr="003E16D5" w:rsidRDefault="000B3FEF" w:rsidP="00172223">
            <w:pPr>
              <w:rPr>
                <w:rFonts w:ascii="Century Gothic" w:hAnsi="Century Gothic"/>
              </w:rPr>
            </w:pPr>
            <w:r w:rsidRPr="003E16D5">
              <w:rPr>
                <w:rFonts w:ascii="Century Gothic" w:hAnsi="Century Gothic"/>
              </w:rPr>
              <w:t>45%</w:t>
            </w:r>
          </w:p>
          <w:p w:rsidR="000B3FEF" w:rsidRPr="003E16D5" w:rsidRDefault="000B3FEF" w:rsidP="00172223">
            <w:pPr>
              <w:rPr>
                <w:rFonts w:ascii="Century Gothic" w:hAnsi="Century Gothic"/>
              </w:rPr>
            </w:pPr>
            <w:r w:rsidRPr="003E16D5">
              <w:rPr>
                <w:rFonts w:ascii="Century Gothic" w:hAnsi="Century Gothic"/>
              </w:rPr>
              <w:t>22,50%</w:t>
            </w:r>
          </w:p>
          <w:p w:rsidR="000B3FEF" w:rsidRPr="003E16D5" w:rsidRDefault="000B3FEF" w:rsidP="00172223">
            <w:pPr>
              <w:rPr>
                <w:rFonts w:ascii="Century Gothic" w:hAnsi="Century Gothic"/>
              </w:rPr>
            </w:pPr>
            <w:r w:rsidRPr="003E16D5">
              <w:rPr>
                <w:rFonts w:ascii="Century Gothic" w:hAnsi="Century Gothic"/>
              </w:rPr>
              <w:t>15,75%</w:t>
            </w:r>
          </w:p>
        </w:tc>
        <w:tc>
          <w:tcPr>
            <w:tcW w:w="1984" w:type="dxa"/>
          </w:tcPr>
          <w:p w:rsidR="000B3FEF" w:rsidRPr="003E16D5" w:rsidRDefault="000B3FEF" w:rsidP="00172223">
            <w:pPr>
              <w:rPr>
                <w:rFonts w:ascii="Century Gothic" w:hAnsi="Century Gothic"/>
              </w:rPr>
            </w:pPr>
            <w:r w:rsidRPr="003E16D5">
              <w:rPr>
                <w:rFonts w:ascii="Century Gothic" w:hAnsi="Century Gothic"/>
              </w:rPr>
              <w:t>45%</w:t>
            </w:r>
          </w:p>
        </w:tc>
      </w:tr>
      <w:tr w:rsidR="000B3FEF" w:rsidRPr="003E16D5" w:rsidTr="00142D5A">
        <w:tc>
          <w:tcPr>
            <w:tcW w:w="1555" w:type="dxa"/>
          </w:tcPr>
          <w:p w:rsidR="000B3FEF" w:rsidRPr="003E16D5" w:rsidRDefault="000B3FEF" w:rsidP="00172223">
            <w:pPr>
              <w:rPr>
                <w:rFonts w:ascii="Century Gothic" w:hAnsi="Century Gothic"/>
                <w:b/>
              </w:rPr>
            </w:pPr>
            <w:r w:rsidRPr="003E16D5">
              <w:rPr>
                <w:rFonts w:ascii="Century Gothic" w:hAnsi="Century Gothic"/>
                <w:b/>
              </w:rPr>
              <w:t>PS</w:t>
            </w:r>
          </w:p>
        </w:tc>
        <w:tc>
          <w:tcPr>
            <w:tcW w:w="1417" w:type="dxa"/>
          </w:tcPr>
          <w:p w:rsidR="000B3FEF" w:rsidRPr="003E16D5" w:rsidRDefault="000B3FEF" w:rsidP="00172223">
            <w:pPr>
              <w:rPr>
                <w:rFonts w:ascii="Century Gothic" w:hAnsi="Century Gothic"/>
              </w:rPr>
            </w:pPr>
            <w:r w:rsidRPr="003E16D5">
              <w:rPr>
                <w:rFonts w:ascii="Century Gothic" w:hAnsi="Century Gothic"/>
              </w:rPr>
              <w:t>15,5%</w:t>
            </w:r>
          </w:p>
        </w:tc>
        <w:tc>
          <w:tcPr>
            <w:tcW w:w="1418" w:type="dxa"/>
          </w:tcPr>
          <w:p w:rsidR="000B3FEF" w:rsidRPr="003E16D5" w:rsidRDefault="000B3FEF" w:rsidP="00172223">
            <w:pPr>
              <w:rPr>
                <w:rFonts w:ascii="Century Gothic" w:hAnsi="Century Gothic"/>
              </w:rPr>
            </w:pPr>
            <w:r w:rsidRPr="003E16D5">
              <w:rPr>
                <w:rFonts w:ascii="Century Gothic" w:hAnsi="Century Gothic"/>
              </w:rPr>
              <w:t>8%</w:t>
            </w:r>
          </w:p>
        </w:tc>
        <w:tc>
          <w:tcPr>
            <w:tcW w:w="1559" w:type="dxa"/>
          </w:tcPr>
          <w:p w:rsidR="000B3FEF" w:rsidRPr="003E16D5" w:rsidRDefault="000B3FEF" w:rsidP="00172223">
            <w:pPr>
              <w:rPr>
                <w:rFonts w:ascii="Century Gothic" w:hAnsi="Century Gothic"/>
              </w:rPr>
            </w:pPr>
            <w:r w:rsidRPr="003E16D5">
              <w:rPr>
                <w:rFonts w:ascii="Century Gothic" w:hAnsi="Century Gothic"/>
              </w:rPr>
              <w:t>15,5%</w:t>
            </w:r>
          </w:p>
        </w:tc>
        <w:tc>
          <w:tcPr>
            <w:tcW w:w="1701" w:type="dxa"/>
          </w:tcPr>
          <w:p w:rsidR="000B3FEF" w:rsidRPr="003E16D5" w:rsidRDefault="000B3FEF" w:rsidP="00172223">
            <w:pPr>
              <w:rPr>
                <w:rFonts w:ascii="Century Gothic" w:hAnsi="Century Gothic"/>
              </w:rPr>
            </w:pPr>
            <w:r w:rsidRPr="003E16D5">
              <w:rPr>
                <w:rFonts w:ascii="Century Gothic" w:hAnsi="Century Gothic"/>
              </w:rPr>
              <w:t>15,5%</w:t>
            </w:r>
          </w:p>
        </w:tc>
        <w:tc>
          <w:tcPr>
            <w:tcW w:w="1984" w:type="dxa"/>
          </w:tcPr>
          <w:p w:rsidR="000B3FEF" w:rsidRPr="003E16D5" w:rsidRDefault="000B3FEF" w:rsidP="00172223">
            <w:pPr>
              <w:rPr>
                <w:rFonts w:ascii="Century Gothic" w:hAnsi="Century Gothic"/>
              </w:rPr>
            </w:pPr>
            <w:r w:rsidRPr="003E16D5">
              <w:rPr>
                <w:rFonts w:ascii="Century Gothic" w:hAnsi="Century Gothic"/>
              </w:rPr>
              <w:t>8%</w:t>
            </w:r>
          </w:p>
        </w:tc>
      </w:tr>
      <w:tr w:rsidR="000B3FEF" w:rsidRPr="003E16D5" w:rsidTr="00142D5A">
        <w:tc>
          <w:tcPr>
            <w:tcW w:w="1555" w:type="dxa"/>
          </w:tcPr>
          <w:p w:rsidR="000B3FEF" w:rsidRPr="003E16D5" w:rsidRDefault="00142D5A" w:rsidP="00172223">
            <w:pPr>
              <w:rPr>
                <w:rFonts w:ascii="Century Gothic" w:hAnsi="Century Gothic"/>
                <w:b/>
              </w:rPr>
            </w:pPr>
            <w:r>
              <w:rPr>
                <w:rFonts w:ascii="Century Gothic" w:hAnsi="Century Gothic"/>
                <w:b/>
              </w:rPr>
              <w:t xml:space="preserve">Contribution salariale </w:t>
            </w:r>
          </w:p>
        </w:tc>
        <w:tc>
          <w:tcPr>
            <w:tcW w:w="1417" w:type="dxa"/>
          </w:tcPr>
          <w:p w:rsidR="000B3FEF" w:rsidRPr="003E16D5" w:rsidRDefault="000B3FEF" w:rsidP="00172223">
            <w:pPr>
              <w:rPr>
                <w:rFonts w:ascii="Century Gothic" w:hAnsi="Century Gothic"/>
              </w:rPr>
            </w:pPr>
            <w:r w:rsidRPr="003E16D5">
              <w:rPr>
                <w:rFonts w:ascii="Century Gothic" w:hAnsi="Century Gothic"/>
              </w:rPr>
              <w:t>10%</w:t>
            </w:r>
          </w:p>
        </w:tc>
        <w:tc>
          <w:tcPr>
            <w:tcW w:w="1418" w:type="dxa"/>
          </w:tcPr>
          <w:p w:rsidR="000B3FEF" w:rsidRPr="003E16D5" w:rsidRDefault="000B3FEF" w:rsidP="00172223">
            <w:pPr>
              <w:rPr>
                <w:rFonts w:ascii="Century Gothic" w:hAnsi="Century Gothic"/>
              </w:rPr>
            </w:pPr>
            <w:r w:rsidRPr="003E16D5">
              <w:rPr>
                <w:rFonts w:ascii="Century Gothic" w:hAnsi="Century Gothic"/>
              </w:rPr>
              <w:t>10%</w:t>
            </w:r>
          </w:p>
        </w:tc>
        <w:tc>
          <w:tcPr>
            <w:tcW w:w="1559" w:type="dxa"/>
          </w:tcPr>
          <w:p w:rsidR="000B3FEF" w:rsidRPr="003E16D5" w:rsidRDefault="000B3FEF" w:rsidP="00172223">
            <w:pPr>
              <w:rPr>
                <w:rFonts w:ascii="Century Gothic" w:hAnsi="Century Gothic"/>
              </w:rPr>
            </w:pPr>
            <w:r w:rsidRPr="003E16D5">
              <w:rPr>
                <w:rFonts w:ascii="Century Gothic" w:hAnsi="Century Gothic"/>
              </w:rPr>
              <w:t>0%</w:t>
            </w:r>
          </w:p>
        </w:tc>
        <w:tc>
          <w:tcPr>
            <w:tcW w:w="1701" w:type="dxa"/>
          </w:tcPr>
          <w:p w:rsidR="000B3FEF" w:rsidRPr="003E16D5" w:rsidRDefault="000B3FEF" w:rsidP="00172223">
            <w:pPr>
              <w:rPr>
                <w:rFonts w:ascii="Century Gothic" w:hAnsi="Century Gothic"/>
              </w:rPr>
            </w:pPr>
            <w:r w:rsidRPr="003E16D5">
              <w:rPr>
                <w:rFonts w:ascii="Century Gothic" w:hAnsi="Century Gothic"/>
              </w:rPr>
              <w:t>0%</w:t>
            </w:r>
          </w:p>
        </w:tc>
        <w:tc>
          <w:tcPr>
            <w:tcW w:w="1984" w:type="dxa"/>
          </w:tcPr>
          <w:p w:rsidR="000B3FEF" w:rsidRPr="003E16D5" w:rsidRDefault="000B3FEF" w:rsidP="00172223">
            <w:pPr>
              <w:rPr>
                <w:rFonts w:ascii="Century Gothic" w:hAnsi="Century Gothic"/>
              </w:rPr>
            </w:pPr>
            <w:r w:rsidRPr="003E16D5">
              <w:rPr>
                <w:rFonts w:ascii="Century Gothic" w:hAnsi="Century Gothic"/>
              </w:rPr>
              <w:t>10%</w:t>
            </w:r>
          </w:p>
        </w:tc>
      </w:tr>
      <w:tr w:rsidR="000B3FEF" w:rsidRPr="003E16D5" w:rsidTr="00142D5A">
        <w:tc>
          <w:tcPr>
            <w:tcW w:w="1555" w:type="dxa"/>
          </w:tcPr>
          <w:p w:rsidR="000B3FEF" w:rsidRPr="003E16D5" w:rsidRDefault="000B3FEF" w:rsidP="00172223">
            <w:pPr>
              <w:rPr>
                <w:rFonts w:ascii="Century Gothic" w:hAnsi="Century Gothic"/>
                <w:b/>
              </w:rPr>
            </w:pPr>
            <w:r w:rsidRPr="003E16D5">
              <w:rPr>
                <w:rFonts w:ascii="Century Gothic" w:hAnsi="Century Gothic"/>
                <w:b/>
              </w:rPr>
              <w:t>Economie d’IR possible sur</w:t>
            </w:r>
          </w:p>
          <w:p w:rsidR="000B3FEF" w:rsidRPr="003E16D5" w:rsidRDefault="000B3FEF" w:rsidP="00172223">
            <w:pPr>
              <w:rPr>
                <w:rFonts w:ascii="Century Gothic" w:hAnsi="Century Gothic"/>
                <w:b/>
              </w:rPr>
            </w:pPr>
            <w:r w:rsidRPr="003E16D5">
              <w:rPr>
                <w:rFonts w:ascii="Century Gothic" w:hAnsi="Century Gothic"/>
                <w:b/>
              </w:rPr>
              <w:t>CSG déductible</w:t>
            </w:r>
          </w:p>
        </w:tc>
        <w:tc>
          <w:tcPr>
            <w:tcW w:w="1417" w:type="dxa"/>
          </w:tcPr>
          <w:p w:rsidR="000B3FEF" w:rsidRPr="003E16D5" w:rsidRDefault="000B3FEF" w:rsidP="00172223">
            <w:pPr>
              <w:rPr>
                <w:rFonts w:ascii="Century Gothic" w:hAnsi="Century Gothic"/>
              </w:rPr>
            </w:pPr>
            <w:r w:rsidRPr="003E16D5">
              <w:rPr>
                <w:rFonts w:ascii="Century Gothic" w:hAnsi="Century Gothic"/>
              </w:rPr>
              <w:t>0%</w:t>
            </w:r>
          </w:p>
        </w:tc>
        <w:tc>
          <w:tcPr>
            <w:tcW w:w="1418" w:type="dxa"/>
          </w:tcPr>
          <w:p w:rsidR="000B3FEF" w:rsidRPr="003E16D5" w:rsidRDefault="000B3FEF" w:rsidP="00172223">
            <w:pPr>
              <w:rPr>
                <w:rFonts w:ascii="Century Gothic" w:hAnsi="Century Gothic"/>
              </w:rPr>
            </w:pPr>
            <w:r w:rsidRPr="003E16D5">
              <w:rPr>
                <w:rFonts w:ascii="Century Gothic" w:hAnsi="Century Gothic"/>
              </w:rPr>
              <w:t>-2,3%</w:t>
            </w:r>
          </w:p>
        </w:tc>
        <w:tc>
          <w:tcPr>
            <w:tcW w:w="1559" w:type="dxa"/>
          </w:tcPr>
          <w:p w:rsidR="000B3FEF" w:rsidRPr="003E16D5" w:rsidRDefault="000B3FEF" w:rsidP="00172223">
            <w:pPr>
              <w:rPr>
                <w:rFonts w:ascii="Century Gothic" w:hAnsi="Century Gothic"/>
              </w:rPr>
            </w:pPr>
            <w:r w:rsidRPr="003E16D5">
              <w:rPr>
                <w:rFonts w:ascii="Century Gothic" w:hAnsi="Century Gothic"/>
              </w:rPr>
              <w:t>-2,3%</w:t>
            </w:r>
          </w:p>
        </w:tc>
        <w:tc>
          <w:tcPr>
            <w:tcW w:w="1701" w:type="dxa"/>
          </w:tcPr>
          <w:p w:rsidR="000B3FEF" w:rsidRPr="003E16D5" w:rsidRDefault="000B3FEF" w:rsidP="00172223">
            <w:pPr>
              <w:rPr>
                <w:rFonts w:ascii="Century Gothic" w:hAnsi="Century Gothic"/>
              </w:rPr>
            </w:pPr>
            <w:r w:rsidRPr="003E16D5">
              <w:rPr>
                <w:rFonts w:ascii="Century Gothic" w:hAnsi="Century Gothic"/>
              </w:rPr>
              <w:t>-2,3%</w:t>
            </w:r>
          </w:p>
        </w:tc>
        <w:tc>
          <w:tcPr>
            <w:tcW w:w="1984" w:type="dxa"/>
          </w:tcPr>
          <w:p w:rsidR="000B3FEF" w:rsidRPr="003E16D5" w:rsidRDefault="000B3FEF" w:rsidP="00172223">
            <w:pPr>
              <w:rPr>
                <w:rFonts w:ascii="Century Gothic" w:hAnsi="Century Gothic"/>
              </w:rPr>
            </w:pPr>
            <w:r w:rsidRPr="003E16D5">
              <w:rPr>
                <w:rFonts w:ascii="Century Gothic" w:hAnsi="Century Gothic"/>
              </w:rPr>
              <w:t>-2,3%</w:t>
            </w:r>
          </w:p>
        </w:tc>
      </w:tr>
      <w:tr w:rsidR="000B3FEF" w:rsidRPr="003E16D5" w:rsidTr="00142D5A">
        <w:tc>
          <w:tcPr>
            <w:tcW w:w="1555"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 xml:space="preserve">Cout fiscal et social pour le bénéficiaire </w:t>
            </w:r>
          </w:p>
        </w:tc>
        <w:tc>
          <w:tcPr>
            <w:tcW w:w="1417"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55,5%</w:t>
            </w:r>
          </w:p>
        </w:tc>
        <w:tc>
          <w:tcPr>
            <w:tcW w:w="1418"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60,7%</w:t>
            </w:r>
          </w:p>
        </w:tc>
        <w:tc>
          <w:tcPr>
            <w:tcW w:w="1559"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58,20%</w:t>
            </w:r>
          </w:p>
          <w:p w:rsidR="000B3FEF" w:rsidRPr="003E16D5" w:rsidRDefault="000B3FEF" w:rsidP="00172223">
            <w:pPr>
              <w:rPr>
                <w:rFonts w:ascii="Century Gothic" w:hAnsi="Century Gothic"/>
                <w:b/>
              </w:rPr>
            </w:pPr>
            <w:r w:rsidRPr="003E16D5">
              <w:rPr>
                <w:rFonts w:ascii="Century Gothic" w:hAnsi="Century Gothic"/>
                <w:b/>
              </w:rPr>
              <w:t>35,70%</w:t>
            </w:r>
          </w:p>
          <w:p w:rsidR="000B3FEF" w:rsidRPr="003E16D5" w:rsidRDefault="000B3FEF" w:rsidP="00172223">
            <w:pPr>
              <w:rPr>
                <w:rFonts w:ascii="Century Gothic" w:hAnsi="Century Gothic"/>
                <w:b/>
              </w:rPr>
            </w:pPr>
            <w:r w:rsidRPr="003E16D5">
              <w:rPr>
                <w:rFonts w:ascii="Century Gothic" w:hAnsi="Century Gothic"/>
                <w:b/>
              </w:rPr>
              <w:t xml:space="preserve">28,95% </w:t>
            </w:r>
            <w:r w:rsidRPr="003E16D5">
              <w:rPr>
                <w:rFonts w:ascii="Century Gothic" w:hAnsi="Century Gothic"/>
              </w:rPr>
              <w:t>(1)</w:t>
            </w:r>
          </w:p>
        </w:tc>
        <w:tc>
          <w:tcPr>
            <w:tcW w:w="1701"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58,20%</w:t>
            </w:r>
          </w:p>
          <w:p w:rsidR="000B3FEF" w:rsidRPr="003E16D5" w:rsidRDefault="000B3FEF" w:rsidP="00172223">
            <w:pPr>
              <w:rPr>
                <w:rFonts w:ascii="Century Gothic" w:hAnsi="Century Gothic"/>
                <w:b/>
              </w:rPr>
            </w:pPr>
            <w:r w:rsidRPr="003E16D5">
              <w:rPr>
                <w:rFonts w:ascii="Century Gothic" w:hAnsi="Century Gothic"/>
                <w:b/>
              </w:rPr>
              <w:t>35,70%</w:t>
            </w:r>
          </w:p>
          <w:p w:rsidR="000B3FEF" w:rsidRPr="003E16D5" w:rsidRDefault="000B3FEF" w:rsidP="00172223">
            <w:pPr>
              <w:rPr>
                <w:rFonts w:ascii="Century Gothic" w:hAnsi="Century Gothic"/>
                <w:b/>
              </w:rPr>
            </w:pPr>
            <w:r w:rsidRPr="003E16D5">
              <w:rPr>
                <w:rFonts w:ascii="Century Gothic" w:hAnsi="Century Gothic"/>
                <w:b/>
              </w:rPr>
              <w:t xml:space="preserve">28,95% </w:t>
            </w:r>
            <w:r w:rsidRPr="003E16D5">
              <w:rPr>
                <w:rFonts w:ascii="Century Gothic" w:hAnsi="Century Gothic"/>
              </w:rPr>
              <w:t>(1)</w:t>
            </w:r>
          </w:p>
        </w:tc>
        <w:tc>
          <w:tcPr>
            <w:tcW w:w="1984"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60,7%</w:t>
            </w:r>
          </w:p>
        </w:tc>
      </w:tr>
      <w:tr w:rsidR="000B3FEF" w:rsidRPr="003E16D5" w:rsidTr="00142D5A">
        <w:trPr>
          <w:trHeight w:val="324"/>
        </w:trPr>
        <w:tc>
          <w:tcPr>
            <w:tcW w:w="1555" w:type="dxa"/>
            <w:shd w:val="clear" w:color="auto" w:fill="FFF2CC" w:themeFill="accent4" w:themeFillTint="33"/>
          </w:tcPr>
          <w:p w:rsidR="000B3FEF" w:rsidRPr="003E16D5" w:rsidRDefault="000B3FEF" w:rsidP="00172223">
            <w:pPr>
              <w:rPr>
                <w:rFonts w:ascii="Century Gothic" w:hAnsi="Century Gothic"/>
                <w:b/>
              </w:rPr>
            </w:pPr>
            <w:r w:rsidRPr="003E16D5">
              <w:rPr>
                <w:rFonts w:ascii="Century Gothic" w:hAnsi="Century Gothic"/>
                <w:b/>
              </w:rPr>
              <w:t>Cotisation patronale</w:t>
            </w:r>
          </w:p>
        </w:tc>
        <w:tc>
          <w:tcPr>
            <w:tcW w:w="2835" w:type="dxa"/>
            <w:gridSpan w:val="2"/>
            <w:shd w:val="clear" w:color="auto" w:fill="FFF2CC" w:themeFill="accent4" w:themeFillTint="33"/>
          </w:tcPr>
          <w:p w:rsidR="000B3FEF" w:rsidRPr="003E16D5" w:rsidRDefault="000B3FEF" w:rsidP="00172223">
            <w:pPr>
              <w:jc w:val="center"/>
              <w:rPr>
                <w:rFonts w:ascii="Century Gothic" w:hAnsi="Century Gothic"/>
              </w:rPr>
            </w:pPr>
            <w:r w:rsidRPr="003E16D5">
              <w:rPr>
                <w:rFonts w:ascii="Century Gothic" w:hAnsi="Century Gothic"/>
              </w:rPr>
              <w:t>30% exigible lors de l’attribution</w:t>
            </w:r>
          </w:p>
        </w:tc>
        <w:tc>
          <w:tcPr>
            <w:tcW w:w="1559" w:type="dxa"/>
            <w:shd w:val="clear" w:color="auto" w:fill="FFF2CC" w:themeFill="accent4" w:themeFillTint="33"/>
          </w:tcPr>
          <w:p w:rsidR="000B3FEF" w:rsidRPr="003E16D5" w:rsidRDefault="000B3FEF" w:rsidP="00172223">
            <w:pPr>
              <w:jc w:val="center"/>
              <w:rPr>
                <w:rFonts w:ascii="Century Gothic" w:hAnsi="Century Gothic"/>
              </w:rPr>
            </w:pPr>
            <w:r w:rsidRPr="003E16D5">
              <w:rPr>
                <w:rFonts w:ascii="Century Gothic" w:hAnsi="Century Gothic"/>
                <w:b/>
              </w:rPr>
              <w:t>20%</w:t>
            </w:r>
            <w:r w:rsidRPr="003E16D5">
              <w:rPr>
                <w:rFonts w:ascii="Century Gothic" w:hAnsi="Century Gothic"/>
              </w:rPr>
              <w:t xml:space="preserve"> exigible lors de l’acquisition</w:t>
            </w:r>
          </w:p>
          <w:p w:rsidR="000B3FEF" w:rsidRPr="003E16D5" w:rsidRDefault="000B3FEF" w:rsidP="00172223">
            <w:pPr>
              <w:jc w:val="center"/>
              <w:rPr>
                <w:rFonts w:ascii="Century Gothic" w:hAnsi="Century Gothic"/>
              </w:rPr>
            </w:pPr>
          </w:p>
          <w:p w:rsidR="000B3FEF" w:rsidRPr="003E16D5" w:rsidRDefault="000B3FEF" w:rsidP="00172223">
            <w:pPr>
              <w:jc w:val="center"/>
              <w:rPr>
                <w:rFonts w:ascii="Century Gothic" w:hAnsi="Century Gothic"/>
              </w:rPr>
            </w:pPr>
            <w:r w:rsidRPr="003E16D5">
              <w:rPr>
                <w:rFonts w:ascii="Century Gothic" w:hAnsi="Century Gothic"/>
              </w:rPr>
              <w:t>Exonération possible PME (2)</w:t>
            </w:r>
          </w:p>
        </w:tc>
        <w:tc>
          <w:tcPr>
            <w:tcW w:w="3685" w:type="dxa"/>
            <w:gridSpan w:val="2"/>
            <w:shd w:val="clear" w:color="auto" w:fill="FFF2CC" w:themeFill="accent4" w:themeFillTint="33"/>
          </w:tcPr>
          <w:p w:rsidR="000B3FEF" w:rsidRPr="003E16D5" w:rsidRDefault="000B3FEF" w:rsidP="00172223">
            <w:pPr>
              <w:rPr>
                <w:rFonts w:ascii="Century Gothic" w:hAnsi="Century Gothic"/>
              </w:rPr>
            </w:pPr>
            <w:r w:rsidRPr="003E16D5">
              <w:rPr>
                <w:rFonts w:ascii="Century Gothic" w:hAnsi="Century Gothic"/>
                <w:b/>
              </w:rPr>
              <w:t>30%</w:t>
            </w:r>
            <w:r w:rsidRPr="003E16D5">
              <w:rPr>
                <w:rFonts w:ascii="Century Gothic" w:hAnsi="Century Gothic"/>
              </w:rPr>
              <w:t xml:space="preserve"> exigible lors de l’acquisition</w:t>
            </w:r>
          </w:p>
          <w:p w:rsidR="000B3FEF" w:rsidRPr="003E16D5" w:rsidRDefault="000B3FEF" w:rsidP="00172223">
            <w:pPr>
              <w:rPr>
                <w:rFonts w:ascii="Century Gothic" w:hAnsi="Century Gothic"/>
              </w:rPr>
            </w:pPr>
          </w:p>
          <w:p w:rsidR="000B3FEF" w:rsidRPr="003E16D5" w:rsidRDefault="000B3FEF" w:rsidP="00172223">
            <w:pPr>
              <w:rPr>
                <w:rFonts w:ascii="Century Gothic" w:hAnsi="Century Gothic"/>
              </w:rPr>
            </w:pPr>
          </w:p>
          <w:p w:rsidR="00142D5A" w:rsidRDefault="00142D5A" w:rsidP="00172223">
            <w:pPr>
              <w:rPr>
                <w:rFonts w:ascii="Century Gothic" w:hAnsi="Century Gothic"/>
              </w:rPr>
            </w:pPr>
          </w:p>
          <w:p w:rsidR="000B3FEF" w:rsidRPr="003E16D5" w:rsidRDefault="000B3FEF" w:rsidP="00172223">
            <w:pPr>
              <w:rPr>
                <w:rFonts w:ascii="Century Gothic" w:hAnsi="Century Gothic"/>
              </w:rPr>
            </w:pPr>
            <w:r w:rsidRPr="003E16D5">
              <w:rPr>
                <w:rFonts w:ascii="Century Gothic" w:hAnsi="Century Gothic"/>
              </w:rPr>
              <w:t>Exonération possible PME (2)</w:t>
            </w:r>
          </w:p>
        </w:tc>
      </w:tr>
    </w:tbl>
    <w:p w:rsidR="000B3FEF" w:rsidRPr="003E16D5" w:rsidRDefault="000B3FEF" w:rsidP="000B3FEF">
      <w:pPr>
        <w:jc w:val="both"/>
        <w:rPr>
          <w:rFonts w:ascii="Century Gothic" w:hAnsi="Century Gothic"/>
        </w:rPr>
      </w:pPr>
    </w:p>
    <w:p w:rsidR="000B3FEF" w:rsidRPr="003E16D5" w:rsidRDefault="000B3FEF" w:rsidP="000B3FEF">
      <w:pPr>
        <w:pStyle w:val="Paragraphedeliste"/>
        <w:numPr>
          <w:ilvl w:val="0"/>
          <w:numId w:val="1"/>
        </w:numPr>
        <w:jc w:val="both"/>
        <w:rPr>
          <w:rFonts w:ascii="Century Gothic" w:hAnsi="Century Gothic"/>
        </w:rPr>
      </w:pPr>
      <w:r w:rsidRPr="003E16D5">
        <w:rPr>
          <w:rFonts w:ascii="Century Gothic" w:hAnsi="Century Gothic"/>
        </w:rPr>
        <w:t>Selon que les actions cédées sont détenues depuis moins de 2 ans, depuis au moins 2 ans et moins de 8 ans, ou depuis au moins 8 ans à la date de la cession.</w:t>
      </w:r>
    </w:p>
    <w:p w:rsidR="000B3FEF" w:rsidRPr="003E16D5" w:rsidRDefault="000B3FEF" w:rsidP="000B3FEF">
      <w:pPr>
        <w:pStyle w:val="Paragraphedeliste"/>
        <w:numPr>
          <w:ilvl w:val="0"/>
          <w:numId w:val="1"/>
        </w:numPr>
        <w:pBdr>
          <w:bottom w:val="dotted" w:sz="24" w:space="12" w:color="auto"/>
        </w:pBdr>
        <w:jc w:val="both"/>
        <w:rPr>
          <w:rFonts w:ascii="Century Gothic" w:hAnsi="Century Gothic"/>
        </w:rPr>
      </w:pPr>
      <w:r w:rsidRPr="003E16D5">
        <w:rPr>
          <w:rFonts w:ascii="Century Gothic" w:hAnsi="Century Gothic"/>
        </w:rPr>
        <w:t>Les PME, répondant à la définition des PME européennes (-250 salariés, CA ≤ 50M € ou total bilan ≤ 43M €) qui n’ont procédé à aucune distribution de dividendes depuis leur création sont exonérées de contribution patronale dans la limite, par bénéficiaire, du plafond annuel de la sécurité sociale (39 228 € en 2017)</w:t>
      </w:r>
    </w:p>
    <w:p w:rsidR="00142D5A" w:rsidRPr="003E16D5" w:rsidRDefault="00307962" w:rsidP="004924C3">
      <w:pPr>
        <w:jc w:val="both"/>
        <w:rPr>
          <w:rFonts w:ascii="Century Gothic" w:hAnsi="Century Gothic"/>
          <w:noProof/>
          <w:lang w:eastAsia="fr-FR"/>
        </w:rPr>
      </w:pPr>
      <w:r w:rsidRPr="003E16D5">
        <w:rPr>
          <w:rFonts w:ascii="Century Gothic" w:hAnsi="Century Gothic"/>
          <w:noProof/>
          <w:lang w:eastAsia="fr-FR"/>
        </w:rPr>
        <w:t xml:space="preserve">En 2021, Guy envisage de liquider ses droits à </w:t>
      </w:r>
      <w:r w:rsidR="00945332">
        <w:rPr>
          <w:rFonts w:ascii="Century Gothic" w:hAnsi="Century Gothic"/>
          <w:noProof/>
          <w:lang w:eastAsia="fr-FR"/>
        </w:rPr>
        <w:t xml:space="preserve">la </w:t>
      </w:r>
      <w:r w:rsidRPr="003E16D5">
        <w:rPr>
          <w:rFonts w:ascii="Century Gothic" w:hAnsi="Century Gothic"/>
          <w:noProof/>
          <w:lang w:eastAsia="fr-FR"/>
        </w:rPr>
        <w:t>retraite. Il souhaite en profiter pour c</w:t>
      </w:r>
      <w:r w:rsidR="00945332">
        <w:rPr>
          <w:rFonts w:ascii="Century Gothic" w:hAnsi="Century Gothic"/>
          <w:noProof/>
          <w:lang w:eastAsia="fr-FR"/>
        </w:rPr>
        <w:t>é</w:t>
      </w:r>
      <w:r w:rsidRPr="003E16D5">
        <w:rPr>
          <w:rFonts w:ascii="Century Gothic" w:hAnsi="Century Gothic"/>
          <w:noProof/>
          <w:lang w:eastAsia="fr-FR"/>
        </w:rPr>
        <w:t xml:space="preserve">der ses actions. </w:t>
      </w:r>
      <w:r w:rsidR="00142D5A">
        <w:rPr>
          <w:rFonts w:ascii="Century Gothic" w:hAnsi="Century Gothic"/>
          <w:noProof/>
          <w:lang w:eastAsia="fr-FR"/>
        </w:rPr>
        <w:t>Sa</w:t>
      </w:r>
      <w:r w:rsidR="00106C32" w:rsidRPr="003E16D5">
        <w:rPr>
          <w:rFonts w:ascii="Century Gothic" w:hAnsi="Century Gothic"/>
          <w:noProof/>
          <w:lang w:eastAsia="fr-FR"/>
        </w:rPr>
        <w:t xml:space="preserve"> tra</w:t>
      </w:r>
      <w:r w:rsidR="00142D5A">
        <w:rPr>
          <w:rFonts w:ascii="Century Gothic" w:hAnsi="Century Gothic"/>
          <w:noProof/>
          <w:lang w:eastAsia="fr-FR"/>
        </w:rPr>
        <w:t xml:space="preserve">nche marginale d’impôt est de 30%. </w:t>
      </w:r>
    </w:p>
    <w:p w:rsidR="004C718D" w:rsidRPr="003E16D5" w:rsidRDefault="00F37393" w:rsidP="004924C3">
      <w:pPr>
        <w:jc w:val="both"/>
        <w:rPr>
          <w:rFonts w:ascii="Century Gothic" w:hAnsi="Century Gothic"/>
        </w:rPr>
      </w:pPr>
      <w:r w:rsidRPr="003E16D5">
        <w:rPr>
          <w:rFonts w:ascii="Century Gothic" w:hAnsi="Century Gothic"/>
          <w:noProof/>
          <w:lang w:eastAsia="fr-FR"/>
        </w:rPr>
        <mc:AlternateContent>
          <mc:Choice Requires="wps">
            <w:drawing>
              <wp:anchor distT="0" distB="0" distL="114300" distR="114300" simplePos="0" relativeHeight="251683840" behindDoc="0" locked="0" layoutInCell="1" allowOverlap="1" wp14:anchorId="5FC71206" wp14:editId="730B4705">
                <wp:simplePos x="0" y="0"/>
                <wp:positionH relativeFrom="column">
                  <wp:posOffset>3719830</wp:posOffset>
                </wp:positionH>
                <wp:positionV relativeFrom="paragraph">
                  <wp:posOffset>82550</wp:posOffset>
                </wp:positionV>
                <wp:extent cx="1428750" cy="838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428750" cy="838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223" w:rsidRPr="004B33CC" w:rsidRDefault="00172223" w:rsidP="004B33CC">
                            <w:pPr>
                              <w:spacing w:after="0" w:line="240" w:lineRule="auto"/>
                              <w:jc w:val="center"/>
                              <w:rPr>
                                <w:rFonts w:ascii="Century Gothic" w:hAnsi="Century Gothic"/>
                                <w:b/>
                                <w:color w:val="000000" w:themeColor="text1"/>
                                <w:sz w:val="20"/>
                                <w:szCs w:val="20"/>
                              </w:rPr>
                            </w:pPr>
                            <w:r>
                              <w:rPr>
                                <w:rFonts w:ascii="Century Gothic" w:hAnsi="Century Gothic"/>
                                <w:b/>
                                <w:color w:val="000000" w:themeColor="text1"/>
                                <w:sz w:val="20"/>
                                <w:szCs w:val="20"/>
                              </w:rPr>
                              <w:t>Avril 2021</w:t>
                            </w:r>
                          </w:p>
                          <w:p w:rsidR="00172223" w:rsidRDefault="00172223" w:rsidP="004B33CC">
                            <w:pPr>
                              <w:spacing w:after="0" w:line="240" w:lineRule="auto"/>
                              <w:jc w:val="center"/>
                              <w:rPr>
                                <w:rFonts w:ascii="Century Gothic" w:hAnsi="Century Gothic"/>
                                <w:color w:val="000000" w:themeColor="text1"/>
                                <w:sz w:val="20"/>
                                <w:szCs w:val="20"/>
                              </w:rPr>
                            </w:pPr>
                            <w:r>
                              <w:rPr>
                                <w:rFonts w:ascii="Century Gothic" w:hAnsi="Century Gothic"/>
                                <w:color w:val="000000" w:themeColor="text1"/>
                                <w:sz w:val="20"/>
                                <w:szCs w:val="20"/>
                              </w:rPr>
                              <w:t xml:space="preserve">Cession </w:t>
                            </w:r>
                            <w:r w:rsidRPr="004C718D">
                              <w:rPr>
                                <w:rFonts w:ascii="Century Gothic" w:hAnsi="Century Gothic"/>
                                <w:color w:val="000000" w:themeColor="text1"/>
                                <w:sz w:val="20"/>
                                <w:szCs w:val="20"/>
                              </w:rPr>
                              <w:t xml:space="preserve"> de</w:t>
                            </w:r>
                            <w:r>
                              <w:rPr>
                                <w:rFonts w:ascii="Century Gothic" w:hAnsi="Century Gothic"/>
                                <w:color w:val="000000" w:themeColor="text1"/>
                                <w:sz w:val="20"/>
                                <w:szCs w:val="20"/>
                              </w:rPr>
                              <w:t xml:space="preserve">s </w:t>
                            </w:r>
                            <w:r w:rsidRPr="004B33CC">
                              <w:rPr>
                                <w:rFonts w:ascii="Century Gothic" w:hAnsi="Century Gothic"/>
                                <w:color w:val="000000" w:themeColor="text1"/>
                                <w:sz w:val="20"/>
                                <w:szCs w:val="20"/>
                              </w:rPr>
                              <w:t xml:space="preserve">actions de </w:t>
                            </w:r>
                            <w:r>
                              <w:rPr>
                                <w:rFonts w:ascii="Century Gothic" w:hAnsi="Century Gothic"/>
                                <w:color w:val="000000" w:themeColor="text1"/>
                                <w:sz w:val="20"/>
                                <w:szCs w:val="20"/>
                              </w:rPr>
                              <w:t>Guy</w:t>
                            </w:r>
                            <w:r w:rsidRPr="004C718D">
                              <w:rPr>
                                <w:rFonts w:ascii="Century Gothic" w:hAnsi="Century Gothic"/>
                                <w:color w:val="000000" w:themeColor="text1"/>
                                <w:sz w:val="20"/>
                                <w:szCs w:val="20"/>
                              </w:rPr>
                              <w:t xml:space="preserve"> </w:t>
                            </w:r>
                          </w:p>
                          <w:p w:rsidR="00172223" w:rsidRPr="00F37393" w:rsidRDefault="00172223" w:rsidP="00F37393">
                            <w:pPr>
                              <w:spacing w:after="0" w:line="240" w:lineRule="auto"/>
                              <w:jc w:val="center"/>
                              <w:rPr>
                                <w:rFonts w:ascii="Century Gothic" w:hAnsi="Century Gothic"/>
                                <w:i/>
                                <w:color w:val="0070C0"/>
                                <w:sz w:val="20"/>
                                <w:szCs w:val="20"/>
                              </w:rPr>
                            </w:pPr>
                            <w:r w:rsidRPr="00F37393">
                              <w:rPr>
                                <w:rFonts w:ascii="Century Gothic" w:hAnsi="Century Gothic"/>
                                <w:i/>
                                <w:color w:val="0070C0"/>
                                <w:sz w:val="20"/>
                                <w:szCs w:val="20"/>
                              </w:rPr>
                              <w:t xml:space="preserve">Cours </w:t>
                            </w:r>
                            <w:r>
                              <w:rPr>
                                <w:rFonts w:ascii="Century Gothic" w:hAnsi="Century Gothic"/>
                                <w:i/>
                                <w:color w:val="0070C0"/>
                                <w:sz w:val="20"/>
                                <w:szCs w:val="20"/>
                              </w:rPr>
                              <w:t xml:space="preserve">120 </w:t>
                            </w:r>
                            <w:r w:rsidRPr="00F37393">
                              <w:rPr>
                                <w:rFonts w:ascii="Century Gothic" w:hAnsi="Century Gothic"/>
                                <w:i/>
                                <w:color w:val="0070C0"/>
                                <w:sz w:val="20"/>
                                <w:szCs w:val="20"/>
                              </w:rPr>
                              <w:t xml:space="preserve">€ </w:t>
                            </w:r>
                          </w:p>
                          <w:p w:rsidR="00172223" w:rsidRPr="004C718D" w:rsidRDefault="00172223" w:rsidP="004B33CC">
                            <w:pPr>
                              <w:spacing w:after="0" w:line="240" w:lineRule="auto"/>
                              <w:jc w:val="center"/>
                              <w:rPr>
                                <w:rFonts w:ascii="Century Gothic" w:hAnsi="Century Gothic"/>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71206" id="Rectangle 8" o:spid="_x0000_s1026" style="position:absolute;left:0;text-align:left;margin-left:292.9pt;margin-top:6.5pt;width:112.5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" fillcolor="white [3212]" strokecolor="white [3212]" strokeweight="1pt">
                <v:textbox>
                  <w:txbxContent>
                    <w:p w:rsidR="00172223" w:rsidRPr="004B33CC" w:rsidRDefault="00172223" w:rsidP="004B33CC">
                      <w:pPr>
                        <w:spacing w:after="0" w:line="240" w:lineRule="auto"/>
                        <w:jc w:val="center"/>
                        <w:rPr>
                          <w:rFonts w:ascii="Century Gothic" w:hAnsi="Century Gothic"/>
                          <w:b/>
                          <w:color w:val="000000" w:themeColor="text1"/>
                          <w:sz w:val="20"/>
                          <w:szCs w:val="20"/>
                        </w:rPr>
                      </w:pPr>
                      <w:r>
                        <w:rPr>
                          <w:rFonts w:ascii="Century Gothic" w:hAnsi="Century Gothic"/>
                          <w:b/>
                          <w:color w:val="000000" w:themeColor="text1"/>
                          <w:sz w:val="20"/>
                          <w:szCs w:val="20"/>
                        </w:rPr>
                        <w:t>Avril 2021</w:t>
                      </w:r>
                    </w:p>
                    <w:p w:rsidR="00172223" w:rsidRDefault="00172223" w:rsidP="004B33CC">
                      <w:pPr>
                        <w:spacing w:after="0" w:line="240" w:lineRule="auto"/>
                        <w:jc w:val="center"/>
                        <w:rPr>
                          <w:rFonts w:ascii="Century Gothic" w:hAnsi="Century Gothic"/>
                          <w:color w:val="000000" w:themeColor="text1"/>
                          <w:sz w:val="20"/>
                          <w:szCs w:val="20"/>
                        </w:rPr>
                      </w:pPr>
                      <w:r>
                        <w:rPr>
                          <w:rFonts w:ascii="Century Gothic" w:hAnsi="Century Gothic"/>
                          <w:color w:val="000000" w:themeColor="text1"/>
                          <w:sz w:val="20"/>
                          <w:szCs w:val="20"/>
                        </w:rPr>
                        <w:t xml:space="preserve">Cession </w:t>
                      </w:r>
                      <w:r w:rsidRPr="004C718D">
                        <w:rPr>
                          <w:rFonts w:ascii="Century Gothic" w:hAnsi="Century Gothic"/>
                          <w:color w:val="000000" w:themeColor="text1"/>
                          <w:sz w:val="20"/>
                          <w:szCs w:val="20"/>
                        </w:rPr>
                        <w:t xml:space="preserve"> de</w:t>
                      </w:r>
                      <w:r>
                        <w:rPr>
                          <w:rFonts w:ascii="Century Gothic" w:hAnsi="Century Gothic"/>
                          <w:color w:val="000000" w:themeColor="text1"/>
                          <w:sz w:val="20"/>
                          <w:szCs w:val="20"/>
                        </w:rPr>
                        <w:t xml:space="preserve">s </w:t>
                      </w:r>
                      <w:r w:rsidRPr="004B33CC">
                        <w:rPr>
                          <w:rFonts w:ascii="Century Gothic" w:hAnsi="Century Gothic"/>
                          <w:color w:val="000000" w:themeColor="text1"/>
                          <w:sz w:val="20"/>
                          <w:szCs w:val="20"/>
                        </w:rPr>
                        <w:t xml:space="preserve">actions de </w:t>
                      </w:r>
                      <w:r>
                        <w:rPr>
                          <w:rFonts w:ascii="Century Gothic" w:hAnsi="Century Gothic"/>
                          <w:color w:val="000000" w:themeColor="text1"/>
                          <w:sz w:val="20"/>
                          <w:szCs w:val="20"/>
                        </w:rPr>
                        <w:t>Guy</w:t>
                      </w:r>
                      <w:r w:rsidRPr="004C718D">
                        <w:rPr>
                          <w:rFonts w:ascii="Century Gothic" w:hAnsi="Century Gothic"/>
                          <w:color w:val="000000" w:themeColor="text1"/>
                          <w:sz w:val="20"/>
                          <w:szCs w:val="20"/>
                        </w:rPr>
                        <w:t xml:space="preserve"> </w:t>
                      </w:r>
                    </w:p>
                    <w:p w:rsidR="00172223" w:rsidRPr="00F37393" w:rsidRDefault="00172223" w:rsidP="00F37393">
                      <w:pPr>
                        <w:spacing w:after="0" w:line="240" w:lineRule="auto"/>
                        <w:jc w:val="center"/>
                        <w:rPr>
                          <w:rFonts w:ascii="Century Gothic" w:hAnsi="Century Gothic"/>
                          <w:i/>
                          <w:color w:val="0070C0"/>
                          <w:sz w:val="20"/>
                          <w:szCs w:val="20"/>
                        </w:rPr>
                      </w:pPr>
                      <w:r w:rsidRPr="00F37393">
                        <w:rPr>
                          <w:rFonts w:ascii="Century Gothic" w:hAnsi="Century Gothic"/>
                          <w:i/>
                          <w:color w:val="0070C0"/>
                          <w:sz w:val="20"/>
                          <w:szCs w:val="20"/>
                        </w:rPr>
                        <w:t xml:space="preserve">Cours </w:t>
                      </w:r>
                      <w:r>
                        <w:rPr>
                          <w:rFonts w:ascii="Century Gothic" w:hAnsi="Century Gothic"/>
                          <w:i/>
                          <w:color w:val="0070C0"/>
                          <w:sz w:val="20"/>
                          <w:szCs w:val="20"/>
                        </w:rPr>
                        <w:t xml:space="preserve">120 </w:t>
                      </w:r>
                      <w:r w:rsidRPr="00F37393">
                        <w:rPr>
                          <w:rFonts w:ascii="Century Gothic" w:hAnsi="Century Gothic"/>
                          <w:i/>
                          <w:color w:val="0070C0"/>
                          <w:sz w:val="20"/>
                          <w:szCs w:val="20"/>
                        </w:rPr>
                        <w:t xml:space="preserve">€ </w:t>
                      </w:r>
                    </w:p>
                    <w:p w:rsidR="00172223" w:rsidRPr="004C718D" w:rsidRDefault="00172223" w:rsidP="004B33CC">
                      <w:pPr>
                        <w:spacing w:after="0" w:line="240" w:lineRule="auto"/>
                        <w:jc w:val="center"/>
                        <w:rPr>
                          <w:rFonts w:ascii="Century Gothic" w:hAnsi="Century Gothic"/>
                          <w:color w:val="000000" w:themeColor="text1"/>
                          <w:sz w:val="20"/>
                          <w:szCs w:val="20"/>
                        </w:rPr>
                      </w:pPr>
                    </w:p>
                  </w:txbxContent>
                </v:textbox>
              </v:rect>
            </w:pict>
          </mc:Fallback>
        </mc:AlternateContent>
      </w:r>
      <w:r w:rsidRPr="003E16D5">
        <w:rPr>
          <w:rFonts w:ascii="Century Gothic" w:hAnsi="Century Gothic"/>
          <w:noProof/>
          <w:lang w:eastAsia="fr-FR"/>
        </w:rPr>
        <mc:AlternateContent>
          <mc:Choice Requires="wps">
            <w:drawing>
              <wp:anchor distT="0" distB="0" distL="114300" distR="114300" simplePos="0" relativeHeight="251666432" behindDoc="0" locked="0" layoutInCell="1" allowOverlap="1" wp14:anchorId="5FC71206" wp14:editId="730B4705">
                <wp:simplePos x="0" y="0"/>
                <wp:positionH relativeFrom="column">
                  <wp:posOffset>1833880</wp:posOffset>
                </wp:positionH>
                <wp:positionV relativeFrom="paragraph">
                  <wp:posOffset>130174</wp:posOffset>
                </wp:positionV>
                <wp:extent cx="1476375" cy="7905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76375" cy="790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223" w:rsidRPr="006B175B" w:rsidRDefault="00172223" w:rsidP="004B33CC">
                            <w:pPr>
                              <w:spacing w:after="0" w:line="240" w:lineRule="auto"/>
                              <w:jc w:val="center"/>
                              <w:rPr>
                                <w:rFonts w:ascii="Century Gothic" w:hAnsi="Century Gothic"/>
                                <w:b/>
                                <w:color w:val="000000" w:themeColor="text1"/>
                                <w:sz w:val="20"/>
                                <w:szCs w:val="20"/>
                              </w:rPr>
                            </w:pPr>
                            <w:r w:rsidRPr="006B175B">
                              <w:rPr>
                                <w:rFonts w:ascii="Century Gothic" w:hAnsi="Century Gothic"/>
                                <w:b/>
                                <w:color w:val="000000" w:themeColor="text1"/>
                                <w:sz w:val="20"/>
                                <w:szCs w:val="20"/>
                              </w:rPr>
                              <w:t xml:space="preserve">Avril 2018 </w:t>
                            </w:r>
                          </w:p>
                          <w:p w:rsidR="00172223" w:rsidRDefault="00172223" w:rsidP="004B33CC">
                            <w:pPr>
                              <w:spacing w:after="0" w:line="240" w:lineRule="auto"/>
                              <w:jc w:val="center"/>
                              <w:rPr>
                                <w:rFonts w:ascii="Century Gothic" w:hAnsi="Century Gothic"/>
                                <w:color w:val="000000" w:themeColor="text1"/>
                                <w:sz w:val="20"/>
                                <w:szCs w:val="20"/>
                              </w:rPr>
                            </w:pPr>
                            <w:r w:rsidRPr="006B175B">
                              <w:rPr>
                                <w:rFonts w:ascii="Century Gothic" w:hAnsi="Century Gothic"/>
                                <w:color w:val="000000" w:themeColor="text1"/>
                                <w:sz w:val="20"/>
                                <w:szCs w:val="20"/>
                              </w:rPr>
                              <w:t>Attribution définitive</w:t>
                            </w:r>
                            <w:r>
                              <w:rPr>
                                <w:rFonts w:ascii="Century Gothic" w:hAnsi="Century Gothic"/>
                                <w:color w:val="000000" w:themeColor="text1"/>
                                <w:sz w:val="20"/>
                                <w:szCs w:val="20"/>
                              </w:rPr>
                              <w:t xml:space="preserve"> </w:t>
                            </w:r>
                            <w:r w:rsidRPr="004C718D">
                              <w:rPr>
                                <w:rFonts w:ascii="Century Gothic" w:hAnsi="Century Gothic"/>
                                <w:color w:val="000000" w:themeColor="text1"/>
                                <w:sz w:val="20"/>
                                <w:szCs w:val="20"/>
                              </w:rPr>
                              <w:t>de l’action</w:t>
                            </w:r>
                          </w:p>
                          <w:p w:rsidR="00172223" w:rsidRPr="00F37393" w:rsidRDefault="00172223" w:rsidP="00F37393">
                            <w:pPr>
                              <w:spacing w:after="0" w:line="240" w:lineRule="auto"/>
                              <w:jc w:val="center"/>
                              <w:rPr>
                                <w:rFonts w:ascii="Century Gothic" w:hAnsi="Century Gothic"/>
                                <w:i/>
                                <w:color w:val="0070C0"/>
                                <w:sz w:val="20"/>
                                <w:szCs w:val="20"/>
                              </w:rPr>
                            </w:pPr>
                            <w:r w:rsidRPr="00F37393">
                              <w:rPr>
                                <w:rFonts w:ascii="Century Gothic" w:hAnsi="Century Gothic"/>
                                <w:i/>
                                <w:color w:val="0070C0"/>
                                <w:sz w:val="20"/>
                                <w:szCs w:val="20"/>
                              </w:rPr>
                              <w:t xml:space="preserve">Cours </w:t>
                            </w:r>
                            <w:r>
                              <w:rPr>
                                <w:rFonts w:ascii="Century Gothic" w:hAnsi="Century Gothic"/>
                                <w:i/>
                                <w:color w:val="0070C0"/>
                                <w:sz w:val="20"/>
                                <w:szCs w:val="20"/>
                              </w:rPr>
                              <w:t xml:space="preserve">110 </w:t>
                            </w:r>
                            <w:r w:rsidRPr="00F37393">
                              <w:rPr>
                                <w:rFonts w:ascii="Century Gothic" w:hAnsi="Century Gothic"/>
                                <w:i/>
                                <w:color w:val="0070C0"/>
                                <w:sz w:val="20"/>
                                <w:szCs w:val="20"/>
                              </w:rPr>
                              <w:t xml:space="preserve">€ </w:t>
                            </w:r>
                          </w:p>
                          <w:p w:rsidR="00172223" w:rsidRDefault="00172223" w:rsidP="004B33CC">
                            <w:pPr>
                              <w:spacing w:after="0" w:line="240" w:lineRule="auto"/>
                              <w:jc w:val="center"/>
                              <w:rPr>
                                <w:rFonts w:ascii="Century Gothic" w:hAnsi="Century Gothic"/>
                                <w:color w:val="000000" w:themeColor="text1"/>
                                <w:sz w:val="20"/>
                                <w:szCs w:val="20"/>
                              </w:rPr>
                            </w:pPr>
                          </w:p>
                          <w:p w:rsidR="00172223" w:rsidRDefault="00172223" w:rsidP="004B33CC">
                            <w:pPr>
                              <w:spacing w:after="0" w:line="240" w:lineRule="auto"/>
                              <w:jc w:val="center"/>
                              <w:rPr>
                                <w:rFonts w:ascii="Century Gothic" w:hAnsi="Century Gothic"/>
                                <w:color w:val="000000" w:themeColor="text1"/>
                                <w:sz w:val="20"/>
                                <w:szCs w:val="20"/>
                              </w:rPr>
                            </w:pPr>
                          </w:p>
                          <w:p w:rsidR="00172223" w:rsidRDefault="00172223" w:rsidP="004B33CC">
                            <w:pPr>
                              <w:spacing w:after="0" w:line="240" w:lineRule="auto"/>
                              <w:jc w:val="center"/>
                              <w:rPr>
                                <w:rFonts w:ascii="Century Gothic" w:hAnsi="Century Gothic"/>
                                <w:color w:val="000000" w:themeColor="text1"/>
                                <w:sz w:val="20"/>
                                <w:szCs w:val="20"/>
                              </w:rPr>
                            </w:pPr>
                          </w:p>
                          <w:p w:rsidR="00172223" w:rsidRPr="004C718D" w:rsidRDefault="00172223" w:rsidP="004B33CC">
                            <w:pPr>
                              <w:spacing w:after="0" w:line="240" w:lineRule="auto"/>
                              <w:jc w:val="center"/>
                              <w:rPr>
                                <w:rFonts w:ascii="Century Gothic" w:hAnsi="Century Gothic"/>
                                <w:color w:val="000000" w:themeColor="text1"/>
                                <w:sz w:val="20"/>
                                <w:szCs w:val="20"/>
                              </w:rPr>
                            </w:pPr>
                            <w:r w:rsidRPr="004C718D">
                              <w:rPr>
                                <w:rFonts w:ascii="Century Gothic" w:hAnsi="Century Gothic"/>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71206" id="Rectangle 7" o:spid="_x0000_s1027" style="position:absolute;left:0;text-align:left;margin-left:144.4pt;margin-top:10.25pt;width:116.2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" fillcolor="white [3212]" strokecolor="white [3212]" strokeweight="1pt">
                <v:textbox>
                  <w:txbxContent>
                    <w:p w:rsidR="00172223" w:rsidRPr="006B175B" w:rsidRDefault="00172223" w:rsidP="004B33CC">
                      <w:pPr>
                        <w:spacing w:after="0" w:line="240" w:lineRule="auto"/>
                        <w:jc w:val="center"/>
                        <w:rPr>
                          <w:rFonts w:ascii="Century Gothic" w:hAnsi="Century Gothic"/>
                          <w:b/>
                          <w:color w:val="000000" w:themeColor="text1"/>
                          <w:sz w:val="20"/>
                          <w:szCs w:val="20"/>
                        </w:rPr>
                      </w:pPr>
                      <w:r w:rsidRPr="006B175B">
                        <w:rPr>
                          <w:rFonts w:ascii="Century Gothic" w:hAnsi="Century Gothic"/>
                          <w:b/>
                          <w:color w:val="000000" w:themeColor="text1"/>
                          <w:sz w:val="20"/>
                          <w:szCs w:val="20"/>
                        </w:rPr>
                        <w:t xml:space="preserve">Avril 2018 </w:t>
                      </w:r>
                    </w:p>
                    <w:p w:rsidR="00172223" w:rsidRDefault="00172223" w:rsidP="004B33CC">
                      <w:pPr>
                        <w:spacing w:after="0" w:line="240" w:lineRule="auto"/>
                        <w:jc w:val="center"/>
                        <w:rPr>
                          <w:rFonts w:ascii="Century Gothic" w:hAnsi="Century Gothic"/>
                          <w:color w:val="000000" w:themeColor="text1"/>
                          <w:sz w:val="20"/>
                          <w:szCs w:val="20"/>
                        </w:rPr>
                      </w:pPr>
                      <w:r w:rsidRPr="006B175B">
                        <w:rPr>
                          <w:rFonts w:ascii="Century Gothic" w:hAnsi="Century Gothic"/>
                          <w:color w:val="000000" w:themeColor="text1"/>
                          <w:sz w:val="20"/>
                          <w:szCs w:val="20"/>
                        </w:rPr>
                        <w:t>Attribution définitive</w:t>
                      </w:r>
                      <w:r>
                        <w:rPr>
                          <w:rFonts w:ascii="Century Gothic" w:hAnsi="Century Gothic"/>
                          <w:color w:val="000000" w:themeColor="text1"/>
                          <w:sz w:val="20"/>
                          <w:szCs w:val="20"/>
                        </w:rPr>
                        <w:t xml:space="preserve"> </w:t>
                      </w:r>
                      <w:r w:rsidRPr="004C718D">
                        <w:rPr>
                          <w:rFonts w:ascii="Century Gothic" w:hAnsi="Century Gothic"/>
                          <w:color w:val="000000" w:themeColor="text1"/>
                          <w:sz w:val="20"/>
                          <w:szCs w:val="20"/>
                        </w:rPr>
                        <w:t>de l’action</w:t>
                      </w:r>
                    </w:p>
                    <w:p w:rsidR="00172223" w:rsidRPr="00F37393" w:rsidRDefault="00172223" w:rsidP="00F37393">
                      <w:pPr>
                        <w:spacing w:after="0" w:line="240" w:lineRule="auto"/>
                        <w:jc w:val="center"/>
                        <w:rPr>
                          <w:rFonts w:ascii="Century Gothic" w:hAnsi="Century Gothic"/>
                          <w:i/>
                          <w:color w:val="0070C0"/>
                          <w:sz w:val="20"/>
                          <w:szCs w:val="20"/>
                        </w:rPr>
                      </w:pPr>
                      <w:r w:rsidRPr="00F37393">
                        <w:rPr>
                          <w:rFonts w:ascii="Century Gothic" w:hAnsi="Century Gothic"/>
                          <w:i/>
                          <w:color w:val="0070C0"/>
                          <w:sz w:val="20"/>
                          <w:szCs w:val="20"/>
                        </w:rPr>
                        <w:t xml:space="preserve">Cours </w:t>
                      </w:r>
                      <w:r>
                        <w:rPr>
                          <w:rFonts w:ascii="Century Gothic" w:hAnsi="Century Gothic"/>
                          <w:i/>
                          <w:color w:val="0070C0"/>
                          <w:sz w:val="20"/>
                          <w:szCs w:val="20"/>
                        </w:rPr>
                        <w:t xml:space="preserve">110 </w:t>
                      </w:r>
                      <w:r w:rsidRPr="00F37393">
                        <w:rPr>
                          <w:rFonts w:ascii="Century Gothic" w:hAnsi="Century Gothic"/>
                          <w:i/>
                          <w:color w:val="0070C0"/>
                          <w:sz w:val="20"/>
                          <w:szCs w:val="20"/>
                        </w:rPr>
                        <w:t xml:space="preserve">€ </w:t>
                      </w:r>
                    </w:p>
                    <w:p w:rsidR="00172223" w:rsidRDefault="00172223" w:rsidP="004B33CC">
                      <w:pPr>
                        <w:spacing w:after="0" w:line="240" w:lineRule="auto"/>
                        <w:jc w:val="center"/>
                        <w:rPr>
                          <w:rFonts w:ascii="Century Gothic" w:hAnsi="Century Gothic"/>
                          <w:color w:val="000000" w:themeColor="text1"/>
                          <w:sz w:val="20"/>
                          <w:szCs w:val="20"/>
                        </w:rPr>
                      </w:pPr>
                    </w:p>
                    <w:p w:rsidR="00172223" w:rsidRDefault="00172223" w:rsidP="004B33CC">
                      <w:pPr>
                        <w:spacing w:after="0" w:line="240" w:lineRule="auto"/>
                        <w:jc w:val="center"/>
                        <w:rPr>
                          <w:rFonts w:ascii="Century Gothic" w:hAnsi="Century Gothic"/>
                          <w:color w:val="000000" w:themeColor="text1"/>
                          <w:sz w:val="20"/>
                          <w:szCs w:val="20"/>
                        </w:rPr>
                      </w:pPr>
                    </w:p>
                    <w:p w:rsidR="00172223" w:rsidRDefault="00172223" w:rsidP="004B33CC">
                      <w:pPr>
                        <w:spacing w:after="0" w:line="240" w:lineRule="auto"/>
                        <w:jc w:val="center"/>
                        <w:rPr>
                          <w:rFonts w:ascii="Century Gothic" w:hAnsi="Century Gothic"/>
                          <w:color w:val="000000" w:themeColor="text1"/>
                          <w:sz w:val="20"/>
                          <w:szCs w:val="20"/>
                        </w:rPr>
                      </w:pPr>
                    </w:p>
                    <w:p w:rsidR="00172223" w:rsidRPr="004C718D" w:rsidRDefault="00172223" w:rsidP="004B33CC">
                      <w:pPr>
                        <w:spacing w:after="0" w:line="240" w:lineRule="auto"/>
                        <w:jc w:val="center"/>
                        <w:rPr>
                          <w:rFonts w:ascii="Century Gothic" w:hAnsi="Century Gothic"/>
                          <w:color w:val="000000" w:themeColor="text1"/>
                          <w:sz w:val="20"/>
                          <w:szCs w:val="20"/>
                        </w:rPr>
                      </w:pPr>
                      <w:r w:rsidRPr="004C718D">
                        <w:rPr>
                          <w:rFonts w:ascii="Century Gothic" w:hAnsi="Century Gothic"/>
                          <w:color w:val="000000" w:themeColor="text1"/>
                          <w:sz w:val="20"/>
                          <w:szCs w:val="20"/>
                        </w:rPr>
                        <w:t xml:space="preserve"> </w:t>
                      </w:r>
                    </w:p>
                  </w:txbxContent>
                </v:textbox>
              </v:rect>
            </w:pict>
          </mc:Fallback>
        </mc:AlternateContent>
      </w:r>
      <w:r w:rsidRPr="003E16D5">
        <w:rPr>
          <w:rFonts w:ascii="Century Gothic" w:hAnsi="Century Gothic"/>
          <w:noProof/>
          <w:lang w:eastAsia="fr-FR"/>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6351</wp:posOffset>
                </wp:positionV>
                <wp:extent cx="1114425" cy="914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14425"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223" w:rsidRPr="004B33CC" w:rsidRDefault="00172223" w:rsidP="004B33CC">
                            <w:pPr>
                              <w:spacing w:after="0" w:line="240" w:lineRule="auto"/>
                              <w:jc w:val="center"/>
                              <w:rPr>
                                <w:rFonts w:ascii="Century Gothic" w:hAnsi="Century Gothic"/>
                                <w:b/>
                                <w:color w:val="000000" w:themeColor="text1"/>
                                <w:sz w:val="20"/>
                                <w:szCs w:val="20"/>
                              </w:rPr>
                            </w:pPr>
                            <w:r>
                              <w:rPr>
                                <w:rFonts w:ascii="Century Gothic" w:hAnsi="Century Gothic"/>
                                <w:b/>
                                <w:color w:val="000000" w:themeColor="text1"/>
                                <w:sz w:val="20"/>
                                <w:szCs w:val="20"/>
                              </w:rPr>
                              <w:t xml:space="preserve">Avril </w:t>
                            </w:r>
                            <w:r w:rsidRPr="004B33CC">
                              <w:rPr>
                                <w:rFonts w:ascii="Century Gothic" w:hAnsi="Century Gothic"/>
                                <w:b/>
                                <w:color w:val="000000" w:themeColor="text1"/>
                                <w:sz w:val="20"/>
                                <w:szCs w:val="20"/>
                              </w:rPr>
                              <w:t>2017</w:t>
                            </w:r>
                          </w:p>
                          <w:p w:rsidR="00172223" w:rsidRDefault="00172223" w:rsidP="004B33CC">
                            <w:pPr>
                              <w:spacing w:after="0" w:line="240" w:lineRule="auto"/>
                              <w:jc w:val="center"/>
                              <w:rPr>
                                <w:rFonts w:ascii="Century Gothic" w:hAnsi="Century Gothic"/>
                                <w:color w:val="000000" w:themeColor="text1"/>
                                <w:sz w:val="20"/>
                                <w:szCs w:val="20"/>
                              </w:rPr>
                            </w:pPr>
                            <w:r>
                              <w:rPr>
                                <w:rFonts w:ascii="Century Gothic" w:hAnsi="Century Gothic"/>
                                <w:color w:val="000000" w:themeColor="text1"/>
                                <w:sz w:val="20"/>
                                <w:szCs w:val="20"/>
                              </w:rPr>
                              <w:t xml:space="preserve">Attribution des </w:t>
                            </w:r>
                            <w:r w:rsidRPr="004C718D">
                              <w:rPr>
                                <w:rFonts w:ascii="Century Gothic" w:hAnsi="Century Gothic"/>
                                <w:color w:val="000000" w:themeColor="text1"/>
                                <w:sz w:val="20"/>
                                <w:szCs w:val="20"/>
                              </w:rPr>
                              <w:t>action</w:t>
                            </w:r>
                            <w:r>
                              <w:rPr>
                                <w:rFonts w:ascii="Century Gothic" w:hAnsi="Century Gothic"/>
                                <w:color w:val="000000" w:themeColor="text1"/>
                                <w:sz w:val="20"/>
                                <w:szCs w:val="20"/>
                              </w:rPr>
                              <w:t xml:space="preserve">s </w:t>
                            </w:r>
                          </w:p>
                          <w:p w:rsidR="00172223" w:rsidRPr="00F37393" w:rsidRDefault="00172223" w:rsidP="004B33CC">
                            <w:pPr>
                              <w:spacing w:after="0" w:line="240" w:lineRule="auto"/>
                              <w:jc w:val="center"/>
                              <w:rPr>
                                <w:rFonts w:ascii="Century Gothic" w:hAnsi="Century Gothic"/>
                                <w:i/>
                                <w:color w:val="0070C0"/>
                                <w:sz w:val="20"/>
                                <w:szCs w:val="20"/>
                              </w:rPr>
                            </w:pPr>
                            <w:r w:rsidRPr="00F37393">
                              <w:rPr>
                                <w:rFonts w:ascii="Century Gothic" w:hAnsi="Century Gothic"/>
                                <w:i/>
                                <w:color w:val="0070C0"/>
                                <w:sz w:val="20"/>
                                <w:szCs w:val="20"/>
                              </w:rPr>
                              <w:t xml:space="preserve">Cours </w:t>
                            </w:r>
                            <w:r>
                              <w:rPr>
                                <w:rFonts w:ascii="Century Gothic" w:hAnsi="Century Gothic"/>
                                <w:i/>
                                <w:color w:val="0070C0"/>
                                <w:sz w:val="20"/>
                                <w:szCs w:val="20"/>
                              </w:rPr>
                              <w:t>1</w:t>
                            </w:r>
                            <w:r w:rsidRPr="00F37393">
                              <w:rPr>
                                <w:rFonts w:ascii="Century Gothic" w:hAnsi="Century Gothic"/>
                                <w:i/>
                                <w:color w:val="0070C0"/>
                                <w:sz w:val="20"/>
                                <w:szCs w:val="20"/>
                              </w:rPr>
                              <w:t>0</w:t>
                            </w:r>
                            <w:r>
                              <w:rPr>
                                <w:rFonts w:ascii="Century Gothic" w:hAnsi="Century Gothic"/>
                                <w:i/>
                                <w:color w:val="0070C0"/>
                                <w:sz w:val="20"/>
                                <w:szCs w:val="20"/>
                              </w:rPr>
                              <w:t xml:space="preserve">0 </w:t>
                            </w:r>
                            <w:r w:rsidRPr="00F37393">
                              <w:rPr>
                                <w:rFonts w:ascii="Century Gothic" w:hAnsi="Century Gothic"/>
                                <w:i/>
                                <w:color w:val="0070C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left:0;text-align:left;margin-left:7.15pt;margin-top:.5pt;width:87.75pt;height:1in;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" fillcolor="white [3212]" strokecolor="white [3212]" strokeweight="1pt">
                <v:textbox>
                  <w:txbxContent>
                    <w:p w:rsidR="00172223" w:rsidRPr="004B33CC" w:rsidRDefault="00172223" w:rsidP="004B33CC">
                      <w:pPr>
                        <w:spacing w:after="0" w:line="240" w:lineRule="auto"/>
                        <w:jc w:val="center"/>
                        <w:rPr>
                          <w:rFonts w:ascii="Century Gothic" w:hAnsi="Century Gothic"/>
                          <w:b/>
                          <w:color w:val="000000" w:themeColor="text1"/>
                          <w:sz w:val="20"/>
                          <w:szCs w:val="20"/>
                        </w:rPr>
                      </w:pPr>
                      <w:r>
                        <w:rPr>
                          <w:rFonts w:ascii="Century Gothic" w:hAnsi="Century Gothic"/>
                          <w:b/>
                          <w:color w:val="000000" w:themeColor="text1"/>
                          <w:sz w:val="20"/>
                          <w:szCs w:val="20"/>
                        </w:rPr>
                        <w:t xml:space="preserve">Avril </w:t>
                      </w:r>
                      <w:r w:rsidRPr="004B33CC">
                        <w:rPr>
                          <w:rFonts w:ascii="Century Gothic" w:hAnsi="Century Gothic"/>
                          <w:b/>
                          <w:color w:val="000000" w:themeColor="text1"/>
                          <w:sz w:val="20"/>
                          <w:szCs w:val="20"/>
                        </w:rPr>
                        <w:t>2017</w:t>
                      </w:r>
                    </w:p>
                    <w:p w:rsidR="00172223" w:rsidRDefault="00172223" w:rsidP="004B33CC">
                      <w:pPr>
                        <w:spacing w:after="0" w:line="240" w:lineRule="auto"/>
                        <w:jc w:val="center"/>
                        <w:rPr>
                          <w:rFonts w:ascii="Century Gothic" w:hAnsi="Century Gothic"/>
                          <w:color w:val="000000" w:themeColor="text1"/>
                          <w:sz w:val="20"/>
                          <w:szCs w:val="20"/>
                        </w:rPr>
                      </w:pPr>
                      <w:r>
                        <w:rPr>
                          <w:rFonts w:ascii="Century Gothic" w:hAnsi="Century Gothic"/>
                          <w:color w:val="000000" w:themeColor="text1"/>
                          <w:sz w:val="20"/>
                          <w:szCs w:val="20"/>
                        </w:rPr>
                        <w:t xml:space="preserve">Attribution des </w:t>
                      </w:r>
                      <w:r w:rsidRPr="004C718D">
                        <w:rPr>
                          <w:rFonts w:ascii="Century Gothic" w:hAnsi="Century Gothic"/>
                          <w:color w:val="000000" w:themeColor="text1"/>
                          <w:sz w:val="20"/>
                          <w:szCs w:val="20"/>
                        </w:rPr>
                        <w:t>action</w:t>
                      </w:r>
                      <w:r>
                        <w:rPr>
                          <w:rFonts w:ascii="Century Gothic" w:hAnsi="Century Gothic"/>
                          <w:color w:val="000000" w:themeColor="text1"/>
                          <w:sz w:val="20"/>
                          <w:szCs w:val="20"/>
                        </w:rPr>
                        <w:t xml:space="preserve">s </w:t>
                      </w:r>
                    </w:p>
                    <w:p w:rsidR="00172223" w:rsidRPr="00F37393" w:rsidRDefault="00172223" w:rsidP="004B33CC">
                      <w:pPr>
                        <w:spacing w:after="0" w:line="240" w:lineRule="auto"/>
                        <w:jc w:val="center"/>
                        <w:rPr>
                          <w:rFonts w:ascii="Century Gothic" w:hAnsi="Century Gothic"/>
                          <w:i/>
                          <w:color w:val="0070C0"/>
                          <w:sz w:val="20"/>
                          <w:szCs w:val="20"/>
                        </w:rPr>
                      </w:pPr>
                      <w:r w:rsidRPr="00F37393">
                        <w:rPr>
                          <w:rFonts w:ascii="Century Gothic" w:hAnsi="Century Gothic"/>
                          <w:i/>
                          <w:color w:val="0070C0"/>
                          <w:sz w:val="20"/>
                          <w:szCs w:val="20"/>
                        </w:rPr>
                        <w:t xml:space="preserve">Cours </w:t>
                      </w:r>
                      <w:r>
                        <w:rPr>
                          <w:rFonts w:ascii="Century Gothic" w:hAnsi="Century Gothic"/>
                          <w:i/>
                          <w:color w:val="0070C0"/>
                          <w:sz w:val="20"/>
                          <w:szCs w:val="20"/>
                        </w:rPr>
                        <w:t>1</w:t>
                      </w:r>
                      <w:r w:rsidRPr="00F37393">
                        <w:rPr>
                          <w:rFonts w:ascii="Century Gothic" w:hAnsi="Century Gothic"/>
                          <w:i/>
                          <w:color w:val="0070C0"/>
                          <w:sz w:val="20"/>
                          <w:szCs w:val="20"/>
                        </w:rPr>
                        <w:t>0</w:t>
                      </w:r>
                      <w:r>
                        <w:rPr>
                          <w:rFonts w:ascii="Century Gothic" w:hAnsi="Century Gothic"/>
                          <w:i/>
                          <w:color w:val="0070C0"/>
                          <w:sz w:val="20"/>
                          <w:szCs w:val="20"/>
                        </w:rPr>
                        <w:t xml:space="preserve">0 </w:t>
                      </w:r>
                      <w:r w:rsidRPr="00F37393">
                        <w:rPr>
                          <w:rFonts w:ascii="Century Gothic" w:hAnsi="Century Gothic"/>
                          <w:i/>
                          <w:color w:val="0070C0"/>
                          <w:sz w:val="20"/>
                          <w:szCs w:val="20"/>
                        </w:rPr>
                        <w:t xml:space="preserve">€ </w:t>
                      </w:r>
                    </w:p>
                  </w:txbxContent>
                </v:textbox>
              </v:rect>
            </w:pict>
          </mc:Fallback>
        </mc:AlternateContent>
      </w:r>
    </w:p>
    <w:p w:rsidR="004C718D" w:rsidRPr="003E16D5" w:rsidRDefault="004C718D" w:rsidP="004924C3">
      <w:pPr>
        <w:jc w:val="both"/>
        <w:rPr>
          <w:rFonts w:ascii="Century Gothic" w:hAnsi="Century Gothic"/>
        </w:rPr>
      </w:pPr>
    </w:p>
    <w:p w:rsidR="004C718D" w:rsidRPr="003E16D5" w:rsidRDefault="004C718D" w:rsidP="004924C3">
      <w:pPr>
        <w:jc w:val="both"/>
        <w:rPr>
          <w:rFonts w:ascii="Century Gothic" w:hAnsi="Century Gothic"/>
        </w:rPr>
      </w:pPr>
    </w:p>
    <w:p w:rsidR="004C718D" w:rsidRPr="003E16D5" w:rsidRDefault="00681481" w:rsidP="004924C3">
      <w:pPr>
        <w:jc w:val="both"/>
        <w:rPr>
          <w:rFonts w:ascii="Century Gothic" w:hAnsi="Century Gothic"/>
        </w:rPr>
      </w:pPr>
      <w:r w:rsidRPr="003E16D5">
        <w:rPr>
          <w:rFonts w:ascii="Century Gothic" w:hAnsi="Century Gothic"/>
          <w:noProof/>
          <w:lang w:eastAsia="fr-FR"/>
        </w:rPr>
        <mc:AlternateContent>
          <mc:Choice Requires="wps">
            <w:drawing>
              <wp:anchor distT="0" distB="0" distL="114300" distR="114300" simplePos="0" relativeHeight="251681792" behindDoc="0" locked="0" layoutInCell="1" allowOverlap="1" wp14:anchorId="16CF9004" wp14:editId="33D4B4E8">
                <wp:simplePos x="0" y="0"/>
                <wp:positionH relativeFrom="margin">
                  <wp:posOffset>3415030</wp:posOffset>
                </wp:positionH>
                <wp:positionV relativeFrom="paragraph">
                  <wp:posOffset>927100</wp:posOffset>
                </wp:positionV>
                <wp:extent cx="2609850" cy="13716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609850" cy="137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223" w:rsidRDefault="00172223" w:rsidP="00683EDA">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 xml:space="preserve">* Calcul de la plus-value </w:t>
                            </w:r>
                            <w:r w:rsidR="00945332">
                              <w:rPr>
                                <w:rFonts w:ascii="Century Gothic" w:hAnsi="Century Gothic"/>
                                <w:i/>
                                <w:color w:val="000000" w:themeColor="text1"/>
                                <w:sz w:val="20"/>
                                <w:szCs w:val="20"/>
                              </w:rPr>
                              <w:t>(</w:t>
                            </w:r>
                            <w:r>
                              <w:rPr>
                                <w:rFonts w:ascii="Century Gothic" w:hAnsi="Century Gothic"/>
                                <w:i/>
                                <w:color w:val="000000" w:themeColor="text1"/>
                                <w:sz w:val="20"/>
                                <w:szCs w:val="20"/>
                              </w:rPr>
                              <w:t>PV</w:t>
                            </w:r>
                            <w:r w:rsidR="00945332">
                              <w:rPr>
                                <w:rFonts w:ascii="Century Gothic" w:hAnsi="Century Gothic"/>
                                <w:i/>
                                <w:color w:val="000000" w:themeColor="text1"/>
                                <w:sz w:val="20"/>
                                <w:szCs w:val="20"/>
                              </w:rPr>
                              <w:t xml:space="preserve">) </w:t>
                            </w:r>
                            <w:r>
                              <w:rPr>
                                <w:rFonts w:ascii="Century Gothic" w:hAnsi="Century Gothic"/>
                                <w:i/>
                                <w:color w:val="000000" w:themeColor="text1"/>
                                <w:sz w:val="20"/>
                                <w:szCs w:val="20"/>
                              </w:rPr>
                              <w:t xml:space="preserve">de cession  (2) </w:t>
                            </w:r>
                          </w:p>
                          <w:p w:rsidR="00172223" w:rsidRDefault="00172223" w:rsidP="00683EDA">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w:t>
                            </w:r>
                            <w:r>
                              <w:t xml:space="preserve"> </w:t>
                            </w:r>
                            <w:r>
                              <w:rPr>
                                <w:rFonts w:ascii="Century Gothic" w:hAnsi="Century Gothic"/>
                                <w:i/>
                                <w:color w:val="000000" w:themeColor="text1"/>
                                <w:sz w:val="20"/>
                                <w:szCs w:val="20"/>
                              </w:rPr>
                              <w:t>Imposition du gain d’acquisition et de la PV cession</w:t>
                            </w:r>
                          </w:p>
                          <w:p w:rsidR="00172223" w:rsidRPr="004B33CC" w:rsidRDefault="00172223" w:rsidP="00683EDA">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 P</w:t>
                            </w:r>
                            <w:r w:rsidRPr="006B0B8D">
                              <w:rPr>
                                <w:rFonts w:ascii="Century Gothic" w:hAnsi="Century Gothic"/>
                                <w:i/>
                                <w:color w:val="000000" w:themeColor="text1"/>
                                <w:sz w:val="20"/>
                                <w:szCs w:val="20"/>
                              </w:rPr>
                              <w:t xml:space="preserve">aiement par </w:t>
                            </w:r>
                            <w:r>
                              <w:rPr>
                                <w:rFonts w:ascii="Century Gothic" w:hAnsi="Century Gothic"/>
                                <w:i/>
                                <w:color w:val="000000" w:themeColor="text1"/>
                                <w:sz w:val="20"/>
                                <w:szCs w:val="20"/>
                              </w:rPr>
                              <w:t>le salarié de la contribution salariale si gain d’acquisition &gt; 300k€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F9004" id="Rectangle 20" o:spid="_x0000_s1029" style="position:absolute;left:0;text-align:left;margin-left:268.9pt;margin-top:73pt;width:205.5pt;height:10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" fillcolor="white [3212]" strokecolor="white [3212]" strokeweight="1pt">
                <v:textbox>
                  <w:txbxContent>
                    <w:p w:rsidR="00172223" w:rsidRDefault="00172223" w:rsidP="00683EDA">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 xml:space="preserve">* Calcul de la plus-value </w:t>
                      </w:r>
                      <w:r w:rsidR="00945332">
                        <w:rPr>
                          <w:rFonts w:ascii="Century Gothic" w:hAnsi="Century Gothic"/>
                          <w:i/>
                          <w:color w:val="000000" w:themeColor="text1"/>
                          <w:sz w:val="20"/>
                          <w:szCs w:val="20"/>
                        </w:rPr>
                        <w:t>(</w:t>
                      </w:r>
                      <w:r>
                        <w:rPr>
                          <w:rFonts w:ascii="Century Gothic" w:hAnsi="Century Gothic"/>
                          <w:i/>
                          <w:color w:val="000000" w:themeColor="text1"/>
                          <w:sz w:val="20"/>
                          <w:szCs w:val="20"/>
                        </w:rPr>
                        <w:t>PV</w:t>
                      </w:r>
                      <w:r w:rsidR="00945332">
                        <w:rPr>
                          <w:rFonts w:ascii="Century Gothic" w:hAnsi="Century Gothic"/>
                          <w:i/>
                          <w:color w:val="000000" w:themeColor="text1"/>
                          <w:sz w:val="20"/>
                          <w:szCs w:val="20"/>
                        </w:rPr>
                        <w:t xml:space="preserve">) </w:t>
                      </w:r>
                      <w:r>
                        <w:rPr>
                          <w:rFonts w:ascii="Century Gothic" w:hAnsi="Century Gothic"/>
                          <w:i/>
                          <w:color w:val="000000" w:themeColor="text1"/>
                          <w:sz w:val="20"/>
                          <w:szCs w:val="20"/>
                        </w:rPr>
                        <w:t xml:space="preserve">de cession  (2) </w:t>
                      </w:r>
                    </w:p>
                    <w:p w:rsidR="00172223" w:rsidRDefault="00172223" w:rsidP="00683EDA">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w:t>
                      </w:r>
                      <w:r>
                        <w:t xml:space="preserve"> </w:t>
                      </w:r>
                      <w:r>
                        <w:rPr>
                          <w:rFonts w:ascii="Century Gothic" w:hAnsi="Century Gothic"/>
                          <w:i/>
                          <w:color w:val="000000" w:themeColor="text1"/>
                          <w:sz w:val="20"/>
                          <w:szCs w:val="20"/>
                        </w:rPr>
                        <w:t>Imposition du gain d’acquisition et de la PV cession</w:t>
                      </w:r>
                    </w:p>
                    <w:p w:rsidR="00172223" w:rsidRPr="004B33CC" w:rsidRDefault="00172223" w:rsidP="00683EDA">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 P</w:t>
                      </w:r>
                      <w:r w:rsidRPr="006B0B8D">
                        <w:rPr>
                          <w:rFonts w:ascii="Century Gothic" w:hAnsi="Century Gothic"/>
                          <w:i/>
                          <w:color w:val="000000" w:themeColor="text1"/>
                          <w:sz w:val="20"/>
                          <w:szCs w:val="20"/>
                        </w:rPr>
                        <w:t xml:space="preserve">aiement par </w:t>
                      </w:r>
                      <w:r>
                        <w:rPr>
                          <w:rFonts w:ascii="Century Gothic" w:hAnsi="Century Gothic"/>
                          <w:i/>
                          <w:color w:val="000000" w:themeColor="text1"/>
                          <w:sz w:val="20"/>
                          <w:szCs w:val="20"/>
                        </w:rPr>
                        <w:t>le salarié de la contribution salariale si gain d’acquisition &gt; 300k€</w:t>
                      </w:r>
                    </w:p>
                  </w:txbxContent>
                </v:textbox>
                <w10:wrap anchorx="margin"/>
              </v:rect>
            </w:pict>
          </mc:Fallback>
        </mc:AlternateContent>
      </w:r>
      <w:r w:rsidRPr="003E16D5">
        <w:rPr>
          <w:rFonts w:ascii="Century Gothic" w:hAnsi="Century Gothic"/>
          <w:noProof/>
          <w:lang w:eastAsia="fr-FR"/>
        </w:rPr>
        <mc:AlternateContent>
          <mc:Choice Requires="wps">
            <w:drawing>
              <wp:anchor distT="0" distB="0" distL="114300" distR="114300" simplePos="0" relativeHeight="251678720" behindDoc="0" locked="0" layoutInCell="1" allowOverlap="1" wp14:anchorId="07468E83" wp14:editId="38D5E5BF">
                <wp:simplePos x="0" y="0"/>
                <wp:positionH relativeFrom="margin">
                  <wp:posOffset>1614805</wp:posOffset>
                </wp:positionH>
                <wp:positionV relativeFrom="paragraph">
                  <wp:posOffset>831850</wp:posOffset>
                </wp:positionV>
                <wp:extent cx="1800225" cy="1171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0225" cy="1171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223" w:rsidRDefault="00172223" w:rsidP="006B0B8D">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 xml:space="preserve">* Calcul du gain d’acquisition (1) </w:t>
                            </w:r>
                          </w:p>
                          <w:p w:rsidR="00172223" w:rsidRPr="004B33CC" w:rsidRDefault="00172223" w:rsidP="006B0B8D">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w:t>
                            </w:r>
                            <w:r w:rsidRPr="006B0B8D">
                              <w:t xml:space="preserve"> </w:t>
                            </w:r>
                            <w:r>
                              <w:rPr>
                                <w:rFonts w:ascii="Century Gothic" w:hAnsi="Century Gothic"/>
                                <w:i/>
                                <w:color w:val="000000" w:themeColor="text1"/>
                                <w:sz w:val="20"/>
                                <w:szCs w:val="20"/>
                              </w:rPr>
                              <w:t>P</w:t>
                            </w:r>
                            <w:r w:rsidRPr="006B0B8D">
                              <w:rPr>
                                <w:rFonts w:ascii="Century Gothic" w:hAnsi="Century Gothic"/>
                                <w:i/>
                                <w:color w:val="000000" w:themeColor="text1"/>
                                <w:sz w:val="20"/>
                                <w:szCs w:val="20"/>
                              </w:rPr>
                              <w:t>aiement par l’entreprise de la contribution patronale de 30%</w:t>
                            </w:r>
                            <w:r>
                              <w:rPr>
                                <w:rFonts w:ascii="Century Gothic" w:hAnsi="Century Gothic"/>
                                <w:i/>
                                <w:color w:val="000000" w:themeColor="text1"/>
                                <w:sz w:val="20"/>
                                <w:szCs w:val="20"/>
                              </w:rPr>
                              <w:t> : 6 600 €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8E83" id="Rectangle 18" o:spid="_x0000_s1030" style="position:absolute;left:0;text-align:left;margin-left:127.15pt;margin-top:65.5pt;width:141.75pt;height:9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" fillcolor="white [3212]" strokecolor="white [3212]" strokeweight="1pt">
                <v:textbox>
                  <w:txbxContent>
                    <w:p w:rsidR="00172223" w:rsidRDefault="00172223" w:rsidP="006B0B8D">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 xml:space="preserve">* Calcul du gain d’acquisition (1) </w:t>
                      </w:r>
                    </w:p>
                    <w:p w:rsidR="00172223" w:rsidRPr="004B33CC" w:rsidRDefault="00172223" w:rsidP="006B0B8D">
                      <w:pPr>
                        <w:spacing w:after="0" w:line="240" w:lineRule="auto"/>
                        <w:jc w:val="center"/>
                        <w:rPr>
                          <w:rFonts w:ascii="Century Gothic" w:hAnsi="Century Gothic"/>
                          <w:i/>
                          <w:color w:val="000000" w:themeColor="text1"/>
                          <w:sz w:val="20"/>
                          <w:szCs w:val="20"/>
                        </w:rPr>
                      </w:pPr>
                      <w:r>
                        <w:rPr>
                          <w:rFonts w:ascii="Century Gothic" w:hAnsi="Century Gothic"/>
                          <w:i/>
                          <w:color w:val="000000" w:themeColor="text1"/>
                          <w:sz w:val="20"/>
                          <w:szCs w:val="20"/>
                        </w:rPr>
                        <w:t>*</w:t>
                      </w:r>
                      <w:r w:rsidRPr="006B0B8D">
                        <w:t xml:space="preserve"> </w:t>
                      </w:r>
                      <w:r>
                        <w:rPr>
                          <w:rFonts w:ascii="Century Gothic" w:hAnsi="Century Gothic"/>
                          <w:i/>
                          <w:color w:val="000000" w:themeColor="text1"/>
                          <w:sz w:val="20"/>
                          <w:szCs w:val="20"/>
                        </w:rPr>
                        <w:t>P</w:t>
                      </w:r>
                      <w:r w:rsidRPr="006B0B8D">
                        <w:rPr>
                          <w:rFonts w:ascii="Century Gothic" w:hAnsi="Century Gothic"/>
                          <w:i/>
                          <w:color w:val="000000" w:themeColor="text1"/>
                          <w:sz w:val="20"/>
                          <w:szCs w:val="20"/>
                        </w:rPr>
                        <w:t>aiement par l’entreprise de la contribution patronale de 30%</w:t>
                      </w:r>
                      <w:r>
                        <w:rPr>
                          <w:rFonts w:ascii="Century Gothic" w:hAnsi="Century Gothic"/>
                          <w:i/>
                          <w:color w:val="000000" w:themeColor="text1"/>
                          <w:sz w:val="20"/>
                          <w:szCs w:val="20"/>
                        </w:rPr>
                        <w:t> : 6 600 €</w:t>
                      </w:r>
                    </w:p>
                  </w:txbxContent>
                </v:textbox>
                <w10:wrap anchorx="margin"/>
              </v:rect>
            </w:pict>
          </mc:Fallback>
        </mc:AlternateContent>
      </w:r>
      <w:r w:rsidR="006B175B" w:rsidRPr="003E16D5">
        <w:rPr>
          <w:rFonts w:ascii="Century Gothic" w:hAnsi="Century Gothic"/>
          <w:noProof/>
          <w:lang w:eastAsia="fr-FR"/>
        </w:rPr>
        <mc:AlternateContent>
          <mc:Choice Requires="wps">
            <w:drawing>
              <wp:anchor distT="0" distB="0" distL="114300" distR="114300" simplePos="0" relativeHeight="251658239" behindDoc="0" locked="0" layoutInCell="1" allowOverlap="1" wp14:anchorId="79E65174" wp14:editId="13CFBFE9">
                <wp:simplePos x="0" y="0"/>
                <wp:positionH relativeFrom="margin">
                  <wp:posOffset>-137795</wp:posOffset>
                </wp:positionH>
                <wp:positionV relativeFrom="paragraph">
                  <wp:posOffset>898525</wp:posOffset>
                </wp:positionV>
                <wp:extent cx="1657350" cy="609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657350"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2223" w:rsidRPr="004B33CC" w:rsidRDefault="00172223" w:rsidP="004B33CC">
                            <w:pPr>
                              <w:spacing w:after="0" w:line="240" w:lineRule="auto"/>
                              <w:jc w:val="center"/>
                              <w:rPr>
                                <w:rFonts w:ascii="Century Gothic" w:hAnsi="Century Gothic"/>
                                <w:i/>
                                <w:color w:val="000000" w:themeColor="text1"/>
                                <w:sz w:val="20"/>
                                <w:szCs w:val="20"/>
                              </w:rPr>
                            </w:pPr>
                            <w:r w:rsidRPr="004B33CC">
                              <w:rPr>
                                <w:rFonts w:ascii="Century Gothic" w:hAnsi="Century Gothic"/>
                                <w:i/>
                                <w:color w:val="000000" w:themeColor="text1"/>
                                <w:sz w:val="20"/>
                                <w:szCs w:val="20"/>
                              </w:rPr>
                              <w:t xml:space="preserve">Aucune taxation </w:t>
                            </w:r>
                          </w:p>
                          <w:p w:rsidR="00172223" w:rsidRPr="004B33CC" w:rsidRDefault="00172223" w:rsidP="004B33CC">
                            <w:pPr>
                              <w:spacing w:after="0" w:line="240" w:lineRule="auto"/>
                              <w:jc w:val="center"/>
                              <w:rPr>
                                <w:rFonts w:ascii="Century Gothic" w:hAnsi="Century Gothic"/>
                                <w:i/>
                                <w:color w:val="000000" w:themeColor="text1"/>
                                <w:sz w:val="20"/>
                                <w:szCs w:val="20"/>
                              </w:rPr>
                            </w:pPr>
                            <w:r w:rsidRPr="004B33CC">
                              <w:rPr>
                                <w:rFonts w:ascii="Century Gothic" w:hAnsi="Century Gothic"/>
                                <w:i/>
                                <w:color w:val="000000" w:themeColor="text1"/>
                                <w:sz w:val="20"/>
                                <w:szCs w:val="20"/>
                              </w:rPr>
                              <w:t xml:space="preserve">ni pour l’entreprise </w:t>
                            </w:r>
                          </w:p>
                          <w:p w:rsidR="00172223" w:rsidRPr="004B33CC" w:rsidRDefault="00172223" w:rsidP="004B33CC">
                            <w:pPr>
                              <w:spacing w:after="0" w:line="240" w:lineRule="auto"/>
                              <w:jc w:val="center"/>
                              <w:rPr>
                                <w:rFonts w:ascii="Century Gothic" w:hAnsi="Century Gothic"/>
                                <w:i/>
                                <w:color w:val="000000" w:themeColor="text1"/>
                                <w:sz w:val="20"/>
                                <w:szCs w:val="20"/>
                              </w:rPr>
                            </w:pPr>
                            <w:r w:rsidRPr="004B33CC">
                              <w:rPr>
                                <w:rFonts w:ascii="Century Gothic" w:hAnsi="Century Gothic"/>
                                <w:i/>
                                <w:color w:val="000000" w:themeColor="text1"/>
                                <w:sz w:val="20"/>
                                <w:szCs w:val="20"/>
                              </w:rPr>
                              <w:t xml:space="preserve">ni pour le bénéficiaire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65174" id="Rectangle 15" o:spid="_x0000_s1031" style="position:absolute;left:0;text-align:left;margin-left:-10.85pt;margin-top:70.75pt;width:130.5pt;height:4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" fillcolor="white [3212]" strokecolor="white [3212]" strokeweight="1pt">
                <v:textbox>
                  <w:txbxContent>
                    <w:p w:rsidR="00172223" w:rsidRPr="004B33CC" w:rsidRDefault="00172223" w:rsidP="004B33CC">
                      <w:pPr>
                        <w:spacing w:after="0" w:line="240" w:lineRule="auto"/>
                        <w:jc w:val="center"/>
                        <w:rPr>
                          <w:rFonts w:ascii="Century Gothic" w:hAnsi="Century Gothic"/>
                          <w:i/>
                          <w:color w:val="000000" w:themeColor="text1"/>
                          <w:sz w:val="20"/>
                          <w:szCs w:val="20"/>
                        </w:rPr>
                      </w:pPr>
                      <w:r w:rsidRPr="004B33CC">
                        <w:rPr>
                          <w:rFonts w:ascii="Century Gothic" w:hAnsi="Century Gothic"/>
                          <w:i/>
                          <w:color w:val="000000" w:themeColor="text1"/>
                          <w:sz w:val="20"/>
                          <w:szCs w:val="20"/>
                        </w:rPr>
                        <w:t xml:space="preserve">Aucune taxation </w:t>
                      </w:r>
                    </w:p>
                    <w:p w:rsidR="00172223" w:rsidRPr="004B33CC" w:rsidRDefault="00172223" w:rsidP="004B33CC">
                      <w:pPr>
                        <w:spacing w:after="0" w:line="240" w:lineRule="auto"/>
                        <w:jc w:val="center"/>
                        <w:rPr>
                          <w:rFonts w:ascii="Century Gothic" w:hAnsi="Century Gothic"/>
                          <w:i/>
                          <w:color w:val="000000" w:themeColor="text1"/>
                          <w:sz w:val="20"/>
                          <w:szCs w:val="20"/>
                        </w:rPr>
                      </w:pPr>
                      <w:proofErr w:type="gramStart"/>
                      <w:r w:rsidRPr="004B33CC">
                        <w:rPr>
                          <w:rFonts w:ascii="Century Gothic" w:hAnsi="Century Gothic"/>
                          <w:i/>
                          <w:color w:val="000000" w:themeColor="text1"/>
                          <w:sz w:val="20"/>
                          <w:szCs w:val="20"/>
                        </w:rPr>
                        <w:t>ni</w:t>
                      </w:r>
                      <w:proofErr w:type="gramEnd"/>
                      <w:r w:rsidRPr="004B33CC">
                        <w:rPr>
                          <w:rFonts w:ascii="Century Gothic" w:hAnsi="Century Gothic"/>
                          <w:i/>
                          <w:color w:val="000000" w:themeColor="text1"/>
                          <w:sz w:val="20"/>
                          <w:szCs w:val="20"/>
                        </w:rPr>
                        <w:t xml:space="preserve"> pour l’entreprise </w:t>
                      </w:r>
                    </w:p>
                    <w:p w:rsidR="00172223" w:rsidRPr="004B33CC" w:rsidRDefault="00172223" w:rsidP="004B33CC">
                      <w:pPr>
                        <w:spacing w:after="0" w:line="240" w:lineRule="auto"/>
                        <w:jc w:val="center"/>
                        <w:rPr>
                          <w:rFonts w:ascii="Century Gothic" w:hAnsi="Century Gothic"/>
                          <w:i/>
                          <w:color w:val="000000" w:themeColor="text1"/>
                          <w:sz w:val="20"/>
                          <w:szCs w:val="20"/>
                        </w:rPr>
                      </w:pPr>
                      <w:proofErr w:type="gramStart"/>
                      <w:r w:rsidRPr="004B33CC">
                        <w:rPr>
                          <w:rFonts w:ascii="Century Gothic" w:hAnsi="Century Gothic"/>
                          <w:i/>
                          <w:color w:val="000000" w:themeColor="text1"/>
                          <w:sz w:val="20"/>
                          <w:szCs w:val="20"/>
                        </w:rPr>
                        <w:t>ni</w:t>
                      </w:r>
                      <w:proofErr w:type="gramEnd"/>
                      <w:r w:rsidRPr="004B33CC">
                        <w:rPr>
                          <w:rFonts w:ascii="Century Gothic" w:hAnsi="Century Gothic"/>
                          <w:i/>
                          <w:color w:val="000000" w:themeColor="text1"/>
                          <w:sz w:val="20"/>
                          <w:szCs w:val="20"/>
                        </w:rPr>
                        <w:t xml:space="preserve"> pour le bénéficiaire </w:t>
                      </w:r>
                    </w:p>
                  </w:txbxContent>
                </v:textbox>
                <w10:wrap anchorx="margin"/>
              </v:rect>
            </w:pict>
          </mc:Fallback>
        </mc:AlternateContent>
      </w:r>
      <w:r w:rsidR="00683EDA" w:rsidRPr="003E16D5">
        <w:rPr>
          <w:rFonts w:ascii="Century Gothic" w:hAnsi="Century Gothic"/>
          <w:noProof/>
          <w:lang w:eastAsia="fr-FR"/>
        </w:rPr>
        <mc:AlternateContent>
          <mc:Choice Requires="wps">
            <w:drawing>
              <wp:anchor distT="0" distB="0" distL="114300" distR="114300" simplePos="0" relativeHeight="251682816" behindDoc="0" locked="0" layoutInCell="1" allowOverlap="1" wp14:anchorId="1335D6C2" wp14:editId="137C7D24">
                <wp:simplePos x="0" y="0"/>
                <wp:positionH relativeFrom="column">
                  <wp:posOffset>4362450</wp:posOffset>
                </wp:positionH>
                <wp:positionV relativeFrom="paragraph">
                  <wp:posOffset>727075</wp:posOffset>
                </wp:positionV>
                <wp:extent cx="152400" cy="200025"/>
                <wp:effectExtent l="19050" t="0" r="19050" b="47625"/>
                <wp:wrapNone/>
                <wp:docPr id="21" name="Flèche vers le bas 21"/>
                <wp:cNvGraphicFramePr/>
                <a:graphic xmlns:a="http://schemas.openxmlformats.org/drawingml/2006/main">
                  <a:graphicData uri="http://schemas.microsoft.com/office/word/2010/wordprocessingShape">
                    <wps:wsp>
                      <wps:cNvSpPr/>
                      <wps:spPr>
                        <a:xfrm>
                          <a:off x="0" y="0"/>
                          <a:ext cx="152400" cy="200025"/>
                        </a:xfrm>
                        <a:prstGeom prst="down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1E5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1" o:spid="_x0000_s1026" type="#_x0000_t67" style="position:absolute;margin-left:343.5pt;margin-top:57.25pt;width:12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" adj="13371" fillcolor="#f2f2f2 [3052]" strokecolor="#1f4d78 [1604]" strokeweight="1pt"/>
            </w:pict>
          </mc:Fallback>
        </mc:AlternateContent>
      </w:r>
      <w:r w:rsidR="006B0B8D" w:rsidRPr="003E16D5">
        <w:rPr>
          <w:rFonts w:ascii="Century Gothic" w:hAnsi="Century Gothic"/>
          <w:noProof/>
          <w:lang w:eastAsia="fr-FR"/>
        </w:rPr>
        <mc:AlternateContent>
          <mc:Choice Requires="wps">
            <w:drawing>
              <wp:anchor distT="0" distB="0" distL="114300" distR="114300" simplePos="0" relativeHeight="251679744" behindDoc="0" locked="0" layoutInCell="1" allowOverlap="1" wp14:anchorId="057D4BFD" wp14:editId="32D8DC8A">
                <wp:simplePos x="0" y="0"/>
                <wp:positionH relativeFrom="column">
                  <wp:posOffset>2514600</wp:posOffset>
                </wp:positionH>
                <wp:positionV relativeFrom="paragraph">
                  <wp:posOffset>708025</wp:posOffset>
                </wp:positionV>
                <wp:extent cx="152400" cy="200025"/>
                <wp:effectExtent l="19050" t="0" r="19050" b="47625"/>
                <wp:wrapNone/>
                <wp:docPr id="19" name="Flèche vers le bas 19"/>
                <wp:cNvGraphicFramePr/>
                <a:graphic xmlns:a="http://schemas.openxmlformats.org/drawingml/2006/main">
                  <a:graphicData uri="http://schemas.microsoft.com/office/word/2010/wordprocessingShape">
                    <wps:wsp>
                      <wps:cNvSpPr/>
                      <wps:spPr>
                        <a:xfrm>
                          <a:off x="0" y="0"/>
                          <a:ext cx="152400" cy="200025"/>
                        </a:xfrm>
                        <a:prstGeom prst="down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AF81" id="Flèche vers le bas 19" o:spid="_x0000_s1026" type="#_x0000_t67" style="position:absolute;margin-left:198pt;margin-top:55.75pt;width:12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" adj="13371" fillcolor="#f2f2f2 [3052]" strokecolor="#1f4d78 [1604]" strokeweight="1pt"/>
            </w:pict>
          </mc:Fallback>
        </mc:AlternateContent>
      </w:r>
      <w:r w:rsidR="006B0B8D" w:rsidRPr="003E16D5">
        <w:rPr>
          <w:rFonts w:ascii="Century Gothic" w:hAnsi="Century Gothic"/>
          <w:noProof/>
          <w:lang w:eastAsia="fr-FR"/>
        </w:rPr>
        <mc:AlternateContent>
          <mc:Choice Requires="wps">
            <w:drawing>
              <wp:anchor distT="0" distB="0" distL="114300" distR="114300" simplePos="0" relativeHeight="251674624" behindDoc="0" locked="0" layoutInCell="1" allowOverlap="1" wp14:anchorId="2D6291F3" wp14:editId="3985F3BD">
                <wp:simplePos x="0" y="0"/>
                <wp:positionH relativeFrom="column">
                  <wp:posOffset>561975</wp:posOffset>
                </wp:positionH>
                <wp:positionV relativeFrom="paragraph">
                  <wp:posOffset>676275</wp:posOffset>
                </wp:positionV>
                <wp:extent cx="152400" cy="200025"/>
                <wp:effectExtent l="19050" t="0" r="19050" b="47625"/>
                <wp:wrapNone/>
                <wp:docPr id="14" name="Flèche vers le bas 14"/>
                <wp:cNvGraphicFramePr/>
                <a:graphic xmlns:a="http://schemas.openxmlformats.org/drawingml/2006/main">
                  <a:graphicData uri="http://schemas.microsoft.com/office/word/2010/wordprocessingShape">
                    <wps:wsp>
                      <wps:cNvSpPr/>
                      <wps:spPr>
                        <a:xfrm>
                          <a:off x="0" y="0"/>
                          <a:ext cx="152400" cy="200025"/>
                        </a:xfrm>
                        <a:prstGeom prst="down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8F02" id="Flèche vers le bas 14" o:spid="_x0000_s1026" type="#_x0000_t67" style="position:absolute;margin-left:44.25pt;margin-top:53.25pt;width:12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" adj="13371" fillcolor="#f2f2f2 [3052]" strokecolor="#1f4d78 [1604]" strokeweight="1pt"/>
            </w:pict>
          </mc:Fallback>
        </mc:AlternateContent>
      </w:r>
      <w:r w:rsidR="004C718D" w:rsidRPr="003E16D5">
        <w:rPr>
          <w:rFonts w:ascii="Century Gothic" w:hAnsi="Century Gothic"/>
          <w:noProof/>
          <w:lang w:eastAsia="fr-FR"/>
        </w:rPr>
        <mc:AlternateContent>
          <mc:Choice Requires="wps">
            <w:drawing>
              <wp:anchor distT="0" distB="0" distL="114300" distR="114300" simplePos="0" relativeHeight="251685888" behindDoc="0" locked="0" layoutInCell="1" allowOverlap="1" wp14:anchorId="604301CE" wp14:editId="05A92736">
                <wp:simplePos x="0" y="0"/>
                <wp:positionH relativeFrom="column">
                  <wp:posOffset>2510155</wp:posOffset>
                </wp:positionH>
                <wp:positionV relativeFrom="paragraph">
                  <wp:posOffset>12700</wp:posOffset>
                </wp:positionV>
                <wp:extent cx="152400" cy="200025"/>
                <wp:effectExtent l="19050" t="0" r="19050" b="47625"/>
                <wp:wrapNone/>
                <wp:docPr id="4" name="Flèche vers le bas 4"/>
                <wp:cNvGraphicFramePr/>
                <a:graphic xmlns:a="http://schemas.openxmlformats.org/drawingml/2006/main">
                  <a:graphicData uri="http://schemas.microsoft.com/office/word/2010/wordprocessingShape">
                    <wps:wsp>
                      <wps:cNvSpPr/>
                      <wps:spPr>
                        <a:xfrm>
                          <a:off x="0" y="0"/>
                          <a:ext cx="152400" cy="200025"/>
                        </a:xfrm>
                        <a:prstGeom prst="down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31CE" id="Flèche vers le bas 4" o:spid="_x0000_s1026" type="#_x0000_t67" style="position:absolute;margin-left:197.65pt;margin-top:1pt;width:12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" adj="13371" fillcolor="#f2f2f2 [3052]" strokecolor="#1f4d78 [1604]" strokeweight="1pt"/>
            </w:pict>
          </mc:Fallback>
        </mc:AlternateContent>
      </w:r>
      <w:r w:rsidR="004C718D" w:rsidRPr="003E16D5">
        <w:rPr>
          <w:rFonts w:ascii="Century Gothic" w:hAnsi="Century Gothic"/>
          <w:noProof/>
          <w:lang w:eastAsia="fr-FR"/>
        </w:rPr>
        <mc:AlternateContent>
          <mc:Choice Requires="wps">
            <w:drawing>
              <wp:anchor distT="0" distB="0" distL="114300" distR="114300" simplePos="0" relativeHeight="251684864" behindDoc="0" locked="0" layoutInCell="1" allowOverlap="1" wp14:anchorId="4521EA2F" wp14:editId="4121E078">
                <wp:simplePos x="0" y="0"/>
                <wp:positionH relativeFrom="column">
                  <wp:posOffset>4377055</wp:posOffset>
                </wp:positionH>
                <wp:positionV relativeFrom="paragraph">
                  <wp:posOffset>12700</wp:posOffset>
                </wp:positionV>
                <wp:extent cx="152400" cy="200025"/>
                <wp:effectExtent l="19050" t="0" r="19050" b="47625"/>
                <wp:wrapNone/>
                <wp:docPr id="5" name="Flèche vers le bas 5"/>
                <wp:cNvGraphicFramePr/>
                <a:graphic xmlns:a="http://schemas.openxmlformats.org/drawingml/2006/main">
                  <a:graphicData uri="http://schemas.microsoft.com/office/word/2010/wordprocessingShape">
                    <wps:wsp>
                      <wps:cNvSpPr/>
                      <wps:spPr>
                        <a:xfrm>
                          <a:off x="0" y="0"/>
                          <a:ext cx="152400" cy="200025"/>
                        </a:xfrm>
                        <a:prstGeom prst="down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AD87" id="Flèche vers le bas 5" o:spid="_x0000_s1026" type="#_x0000_t67" style="position:absolute;margin-left:344.65pt;margin-top:1pt;width:12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" adj="13371" fillcolor="#f2f2f2 [3052]" strokecolor="#1f4d78 [1604]" strokeweight="1pt"/>
            </w:pict>
          </mc:Fallback>
        </mc:AlternateContent>
      </w:r>
      <w:r w:rsidR="004C718D" w:rsidRPr="003E16D5">
        <w:rPr>
          <w:rFonts w:ascii="Century Gothic" w:hAnsi="Century Gothic"/>
          <w:noProof/>
          <w:lang w:eastAsia="fr-FR"/>
        </w:rPr>
        <mc:AlternateContent>
          <mc:Choice Requires="wps">
            <w:drawing>
              <wp:anchor distT="0" distB="0" distL="114300" distR="114300" simplePos="0" relativeHeight="251676672" behindDoc="0" locked="0" layoutInCell="1" allowOverlap="1">
                <wp:simplePos x="0" y="0"/>
                <wp:positionH relativeFrom="column">
                  <wp:posOffset>557530</wp:posOffset>
                </wp:positionH>
                <wp:positionV relativeFrom="paragraph">
                  <wp:posOffset>12700</wp:posOffset>
                </wp:positionV>
                <wp:extent cx="152400" cy="200025"/>
                <wp:effectExtent l="19050" t="0" r="19050" b="47625"/>
                <wp:wrapNone/>
                <wp:docPr id="3" name="Flèche vers le bas 3"/>
                <wp:cNvGraphicFramePr/>
                <a:graphic xmlns:a="http://schemas.openxmlformats.org/drawingml/2006/main">
                  <a:graphicData uri="http://schemas.microsoft.com/office/word/2010/wordprocessingShape">
                    <wps:wsp>
                      <wps:cNvSpPr/>
                      <wps:spPr>
                        <a:xfrm>
                          <a:off x="0" y="0"/>
                          <a:ext cx="152400" cy="200025"/>
                        </a:xfrm>
                        <a:prstGeom prst="down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B9C0" id="Flèche vers le bas 3" o:spid="_x0000_s1026" type="#_x0000_t67" style="position:absolute;margin-left:43.9pt;margin-top:1pt;width:12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" adj="13371" fillcolor="#f2f2f2 [3052]" strokecolor="#1f4d78 [1604]" strokeweight="1pt"/>
            </w:pict>
          </mc:Fallback>
        </mc:AlternateContent>
      </w:r>
      <w:r w:rsidR="004C718D" w:rsidRPr="003E16D5">
        <w:rPr>
          <w:rFonts w:ascii="Century Gothic" w:hAnsi="Century Gothic"/>
          <w:noProof/>
          <w:lang w:eastAsia="fr-FR"/>
        </w:rPr>
        <w:drawing>
          <wp:inline distT="0" distB="0" distL="0" distR="0">
            <wp:extent cx="5486400" cy="923925"/>
            <wp:effectExtent l="0" t="0" r="0" b="952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33CC" w:rsidRPr="003E16D5" w:rsidRDefault="004B33CC" w:rsidP="004924C3">
      <w:pPr>
        <w:jc w:val="both"/>
        <w:rPr>
          <w:rFonts w:ascii="Century Gothic" w:hAnsi="Century Gothic"/>
          <w:noProof/>
          <w:lang w:eastAsia="fr-FR"/>
        </w:rPr>
      </w:pPr>
    </w:p>
    <w:p w:rsidR="004B33CC" w:rsidRPr="003E16D5" w:rsidRDefault="004B33CC" w:rsidP="004924C3">
      <w:pPr>
        <w:jc w:val="both"/>
        <w:rPr>
          <w:rFonts w:ascii="Century Gothic" w:hAnsi="Century Gothic"/>
          <w:noProof/>
          <w:lang w:eastAsia="fr-FR"/>
        </w:rPr>
      </w:pPr>
    </w:p>
    <w:p w:rsidR="00DE71F0" w:rsidRDefault="00DE71F0" w:rsidP="004924C3">
      <w:pPr>
        <w:jc w:val="both"/>
        <w:rPr>
          <w:rFonts w:ascii="Century Gothic" w:hAnsi="Century Gothic"/>
          <w:noProof/>
          <w:lang w:eastAsia="fr-FR"/>
        </w:rPr>
      </w:pPr>
    </w:p>
    <w:p w:rsidR="00945332" w:rsidRDefault="00945332" w:rsidP="004924C3">
      <w:pPr>
        <w:jc w:val="both"/>
        <w:rPr>
          <w:rFonts w:ascii="Century Gothic" w:hAnsi="Century Gothic"/>
          <w:noProof/>
          <w:lang w:eastAsia="fr-FR"/>
        </w:rPr>
      </w:pPr>
    </w:p>
    <w:p w:rsidR="00945332" w:rsidRPr="003E16D5" w:rsidRDefault="00945332" w:rsidP="004924C3">
      <w:pPr>
        <w:jc w:val="both"/>
        <w:rPr>
          <w:rFonts w:ascii="Century Gothic" w:hAnsi="Century Gothic"/>
          <w:noProof/>
          <w:lang w:eastAsia="fr-FR"/>
        </w:rPr>
      </w:pPr>
    </w:p>
    <w:p w:rsidR="004B33CC" w:rsidRPr="003E16D5" w:rsidRDefault="006B0B8D" w:rsidP="006B0B8D">
      <w:pPr>
        <w:pStyle w:val="Paragraphedeliste"/>
        <w:numPr>
          <w:ilvl w:val="0"/>
          <w:numId w:val="8"/>
        </w:numPr>
        <w:jc w:val="both"/>
        <w:rPr>
          <w:rFonts w:ascii="Century Gothic" w:hAnsi="Century Gothic"/>
          <w:noProof/>
          <w:lang w:eastAsia="fr-FR"/>
        </w:rPr>
      </w:pPr>
      <w:r w:rsidRPr="003E16D5">
        <w:rPr>
          <w:rFonts w:ascii="Century Gothic" w:hAnsi="Century Gothic"/>
          <w:noProof/>
          <w:lang w:eastAsia="fr-FR"/>
        </w:rPr>
        <w:t>Le gain d’acquisition correspond à la valeur des titres à la date d'attribu</w:t>
      </w:r>
      <w:r w:rsidR="00535251" w:rsidRPr="003E16D5">
        <w:rPr>
          <w:rFonts w:ascii="Century Gothic" w:hAnsi="Century Gothic"/>
          <w:noProof/>
          <w:lang w:eastAsia="fr-FR"/>
        </w:rPr>
        <w:t xml:space="preserve">tion définitive. </w:t>
      </w:r>
    </w:p>
    <w:p w:rsidR="00106C32" w:rsidRPr="003E16D5" w:rsidRDefault="00535251" w:rsidP="00DE71F0">
      <w:pPr>
        <w:pStyle w:val="Paragraphedeliste"/>
        <w:numPr>
          <w:ilvl w:val="0"/>
          <w:numId w:val="8"/>
        </w:numPr>
        <w:jc w:val="both"/>
        <w:rPr>
          <w:rFonts w:ascii="Century Gothic" w:hAnsi="Century Gothic"/>
          <w:noProof/>
          <w:lang w:eastAsia="fr-FR"/>
        </w:rPr>
      </w:pPr>
      <w:r w:rsidRPr="003E16D5">
        <w:rPr>
          <w:rFonts w:ascii="Century Gothic" w:hAnsi="Century Gothic"/>
          <w:noProof/>
          <w:lang w:eastAsia="fr-FR"/>
        </w:rPr>
        <w:t xml:space="preserve">La plus-value de cession correspond à la différence entre le prix de cession et la valeur de l’action à la date d’attribution définitive. </w:t>
      </w:r>
    </w:p>
    <w:p w:rsidR="00DE71F0" w:rsidRPr="003E16D5" w:rsidRDefault="00DE71F0" w:rsidP="00DE71F0">
      <w:pPr>
        <w:pStyle w:val="Paragraphedeliste"/>
        <w:jc w:val="both"/>
        <w:rPr>
          <w:rFonts w:ascii="Century Gothic" w:hAnsi="Century Gothic"/>
          <w:noProof/>
          <w:lang w:eastAsia="fr-FR"/>
        </w:rPr>
      </w:pPr>
    </w:p>
    <w:tbl>
      <w:tblPr>
        <w:tblW w:w="8505" w:type="dxa"/>
        <w:tblInd w:w="426" w:type="dxa"/>
        <w:tblCellMar>
          <w:left w:w="70" w:type="dxa"/>
          <w:right w:w="70" w:type="dxa"/>
        </w:tblCellMar>
        <w:tblLook w:val="04A0" w:firstRow="1" w:lastRow="0" w:firstColumn="1" w:lastColumn="0" w:noHBand="0" w:noVBand="1"/>
      </w:tblPr>
      <w:tblGrid>
        <w:gridCol w:w="4049"/>
        <w:gridCol w:w="4456"/>
      </w:tblGrid>
      <w:tr w:rsidR="00187B66" w:rsidRPr="003E16D5" w:rsidTr="00066136">
        <w:trPr>
          <w:trHeight w:val="315"/>
        </w:trPr>
        <w:tc>
          <w:tcPr>
            <w:tcW w:w="4049" w:type="dxa"/>
            <w:tcBorders>
              <w:top w:val="single" w:sz="8" w:space="0" w:color="auto"/>
              <w:left w:val="nil"/>
              <w:bottom w:val="single" w:sz="4" w:space="0" w:color="auto"/>
              <w:right w:val="single" w:sz="8" w:space="0" w:color="auto"/>
            </w:tcBorders>
            <w:shd w:val="clear" w:color="auto" w:fill="002060"/>
            <w:noWrap/>
            <w:vAlign w:val="bottom"/>
          </w:tcPr>
          <w:p w:rsidR="00187B66" w:rsidRPr="003E16D5" w:rsidRDefault="00187B66" w:rsidP="00172223">
            <w:pPr>
              <w:spacing w:after="0" w:line="240" w:lineRule="auto"/>
              <w:jc w:val="center"/>
              <w:rPr>
                <w:rFonts w:ascii="Century Gothic" w:eastAsia="Times New Roman" w:hAnsi="Century Gothic" w:cs="Times New Roman"/>
                <w:b/>
                <w:color w:val="FFFFFF" w:themeColor="background1"/>
                <w:lang w:eastAsia="fr-FR"/>
              </w:rPr>
            </w:pPr>
            <w:r w:rsidRPr="003E16D5">
              <w:rPr>
                <w:rFonts w:ascii="Century Gothic" w:eastAsia="Times New Roman" w:hAnsi="Century Gothic" w:cs="Times New Roman"/>
                <w:b/>
                <w:color w:val="FFFFFF" w:themeColor="background1"/>
                <w:lang w:eastAsia="fr-FR"/>
              </w:rPr>
              <w:t>Gain d’acquisition</w:t>
            </w:r>
          </w:p>
        </w:tc>
        <w:tc>
          <w:tcPr>
            <w:tcW w:w="4456" w:type="dxa"/>
            <w:tcBorders>
              <w:top w:val="single" w:sz="8" w:space="0" w:color="auto"/>
              <w:left w:val="nil"/>
              <w:bottom w:val="single" w:sz="4" w:space="0" w:color="auto"/>
              <w:right w:val="single" w:sz="8" w:space="0" w:color="auto"/>
            </w:tcBorders>
            <w:shd w:val="clear" w:color="auto" w:fill="002060"/>
          </w:tcPr>
          <w:p w:rsidR="00187B66" w:rsidRPr="003E16D5" w:rsidRDefault="00187B66" w:rsidP="00172223">
            <w:pPr>
              <w:spacing w:after="0" w:line="240" w:lineRule="auto"/>
              <w:jc w:val="center"/>
              <w:rPr>
                <w:rFonts w:ascii="Century Gothic" w:eastAsia="Times New Roman" w:hAnsi="Century Gothic" w:cs="Times New Roman"/>
                <w:b/>
                <w:color w:val="FFFFFF" w:themeColor="background1"/>
                <w:lang w:eastAsia="fr-FR"/>
              </w:rPr>
            </w:pPr>
          </w:p>
          <w:p w:rsidR="00187B66" w:rsidRPr="003E16D5" w:rsidRDefault="00187B66" w:rsidP="00172223">
            <w:pPr>
              <w:spacing w:after="0" w:line="240" w:lineRule="auto"/>
              <w:jc w:val="center"/>
              <w:rPr>
                <w:rFonts w:ascii="Century Gothic" w:eastAsia="Times New Roman" w:hAnsi="Century Gothic" w:cs="Times New Roman"/>
                <w:b/>
                <w:color w:val="FFFFFF" w:themeColor="background1"/>
                <w:lang w:eastAsia="fr-FR"/>
              </w:rPr>
            </w:pPr>
            <w:r w:rsidRPr="003E16D5">
              <w:rPr>
                <w:rFonts w:ascii="Century Gothic" w:eastAsia="Times New Roman" w:hAnsi="Century Gothic" w:cs="Times New Roman"/>
                <w:b/>
                <w:color w:val="FFFFFF" w:themeColor="background1"/>
                <w:lang w:eastAsia="fr-FR"/>
              </w:rPr>
              <w:t>Plus-value de cession</w:t>
            </w:r>
          </w:p>
        </w:tc>
      </w:tr>
      <w:tr w:rsidR="00187B66" w:rsidRPr="003E16D5" w:rsidTr="00066136">
        <w:trPr>
          <w:trHeight w:val="315"/>
        </w:trPr>
        <w:tc>
          <w:tcPr>
            <w:tcW w:w="4049" w:type="dxa"/>
            <w:tcBorders>
              <w:top w:val="single" w:sz="8" w:space="0" w:color="auto"/>
              <w:left w:val="nil"/>
              <w:bottom w:val="single" w:sz="4" w:space="0" w:color="auto"/>
              <w:right w:val="single" w:sz="8" w:space="0" w:color="auto"/>
            </w:tcBorders>
            <w:shd w:val="clear" w:color="auto" w:fill="auto"/>
            <w:noWrap/>
            <w:vAlign w:val="bottom"/>
            <w:hideMark/>
          </w:tcPr>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200 actions X 110 € = 22 000 €</w:t>
            </w:r>
          </w:p>
        </w:tc>
        <w:tc>
          <w:tcPr>
            <w:tcW w:w="4456" w:type="dxa"/>
            <w:tcBorders>
              <w:top w:val="single" w:sz="8" w:space="0" w:color="auto"/>
              <w:left w:val="nil"/>
              <w:bottom w:val="single" w:sz="4" w:space="0" w:color="auto"/>
              <w:right w:val="single" w:sz="8" w:space="0" w:color="auto"/>
            </w:tcBorders>
            <w:vAlign w:val="bottom"/>
          </w:tcPr>
          <w:p w:rsidR="00187B66" w:rsidRPr="003E16D5" w:rsidRDefault="00E5635C"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200 actions X 120 € = 24</w:t>
            </w:r>
            <w:r w:rsidR="00187B66" w:rsidRPr="003E16D5">
              <w:rPr>
                <w:rFonts w:ascii="Century Gothic" w:eastAsia="Times New Roman" w:hAnsi="Century Gothic" w:cs="Times New Roman"/>
                <w:color w:val="000000"/>
                <w:lang w:eastAsia="fr-FR"/>
              </w:rPr>
              <w:t> 000 €</w:t>
            </w:r>
          </w:p>
        </w:tc>
      </w:tr>
      <w:tr w:rsidR="00187B66" w:rsidRPr="003E16D5" w:rsidTr="00066136">
        <w:trPr>
          <w:trHeight w:val="315"/>
        </w:trPr>
        <w:tc>
          <w:tcPr>
            <w:tcW w:w="4049" w:type="dxa"/>
            <w:tcBorders>
              <w:top w:val="nil"/>
              <w:left w:val="nil"/>
              <w:bottom w:val="single" w:sz="4" w:space="0" w:color="auto"/>
              <w:right w:val="single" w:sz="8" w:space="0" w:color="auto"/>
            </w:tcBorders>
            <w:shd w:val="clear" w:color="auto" w:fill="auto"/>
            <w:noWrap/>
            <w:vAlign w:val="bottom"/>
            <w:hideMark/>
          </w:tcPr>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Gain d’acquisition : 22 000 €</w:t>
            </w:r>
          </w:p>
        </w:tc>
        <w:tc>
          <w:tcPr>
            <w:tcW w:w="4456" w:type="dxa"/>
            <w:tcBorders>
              <w:top w:val="nil"/>
              <w:left w:val="nil"/>
              <w:bottom w:val="single" w:sz="4" w:space="0" w:color="auto"/>
              <w:right w:val="single" w:sz="8" w:space="0" w:color="auto"/>
            </w:tcBorders>
            <w:vAlign w:val="bottom"/>
          </w:tcPr>
          <w:p w:rsidR="00187B66" w:rsidRPr="003E16D5" w:rsidRDefault="00E5635C"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PV cession</w:t>
            </w:r>
            <w:r w:rsidR="00187B66" w:rsidRPr="003E16D5">
              <w:rPr>
                <w:rFonts w:ascii="Century Gothic" w:eastAsia="Times New Roman" w:hAnsi="Century Gothic" w:cs="Times New Roman"/>
                <w:color w:val="000000"/>
                <w:lang w:eastAsia="fr-FR"/>
              </w:rPr>
              <w:t> : 2 000 €</w:t>
            </w:r>
          </w:p>
        </w:tc>
      </w:tr>
      <w:tr w:rsidR="00187B66" w:rsidRPr="003E16D5" w:rsidTr="00066136">
        <w:trPr>
          <w:trHeight w:val="315"/>
        </w:trPr>
        <w:tc>
          <w:tcPr>
            <w:tcW w:w="8505" w:type="dxa"/>
            <w:gridSpan w:val="2"/>
            <w:tcBorders>
              <w:top w:val="nil"/>
              <w:left w:val="nil"/>
              <w:bottom w:val="single" w:sz="4" w:space="0" w:color="auto"/>
              <w:right w:val="single" w:sz="8" w:space="0" w:color="auto"/>
            </w:tcBorders>
            <w:shd w:val="clear" w:color="auto" w:fill="auto"/>
            <w:noWrap/>
            <w:vAlign w:val="bottom"/>
            <w:hideMark/>
          </w:tcPr>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Fiscalité : TMI 30% avec abattement de 50%</w:t>
            </w:r>
            <w:r w:rsidRPr="003E16D5">
              <w:rPr>
                <w:rStyle w:val="Appelnotedebasdep"/>
                <w:rFonts w:ascii="Century Gothic" w:eastAsia="Times New Roman" w:hAnsi="Century Gothic" w:cs="Times New Roman"/>
                <w:color w:val="000000"/>
                <w:lang w:eastAsia="fr-FR"/>
              </w:rPr>
              <w:footnoteReference w:id="1"/>
            </w:r>
          </w:p>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 prélèvements sociaux de 15,5%</w:t>
            </w:r>
          </w:p>
        </w:tc>
      </w:tr>
      <w:tr w:rsidR="00187B66" w:rsidRPr="003E16D5" w:rsidTr="00066136">
        <w:trPr>
          <w:trHeight w:val="315"/>
        </w:trPr>
        <w:tc>
          <w:tcPr>
            <w:tcW w:w="4049" w:type="dxa"/>
            <w:tcBorders>
              <w:top w:val="nil"/>
              <w:left w:val="nil"/>
              <w:bottom w:val="single" w:sz="4" w:space="0" w:color="auto"/>
              <w:right w:val="single" w:sz="8" w:space="0" w:color="auto"/>
            </w:tcBorders>
            <w:shd w:val="clear" w:color="auto" w:fill="auto"/>
            <w:noWrap/>
            <w:vAlign w:val="bottom"/>
          </w:tcPr>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 xml:space="preserve">Imposition = </w:t>
            </w:r>
          </w:p>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(22 000 X 50%) X 30%</w:t>
            </w:r>
          </w:p>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 xml:space="preserve">+ 22 000 X 15,5% </w:t>
            </w:r>
          </w:p>
          <w:p w:rsidR="00187B66" w:rsidRPr="003E16D5" w:rsidRDefault="00187B66" w:rsidP="00187B66">
            <w:pPr>
              <w:spacing w:after="0" w:line="240" w:lineRule="auto"/>
              <w:jc w:val="center"/>
              <w:rPr>
                <w:rFonts w:ascii="Century Gothic" w:eastAsia="Times New Roman" w:hAnsi="Century Gothic" w:cs="Times New Roman"/>
                <w:b/>
                <w:color w:val="000000"/>
                <w:lang w:eastAsia="fr-FR"/>
              </w:rPr>
            </w:pPr>
            <w:r w:rsidRPr="003E16D5">
              <w:rPr>
                <w:rFonts w:ascii="Century Gothic" w:eastAsia="Times New Roman" w:hAnsi="Century Gothic" w:cs="Times New Roman"/>
                <w:b/>
                <w:color w:val="000000"/>
                <w:lang w:eastAsia="fr-FR"/>
              </w:rPr>
              <w:t xml:space="preserve">Soit 6 710 € </w:t>
            </w:r>
          </w:p>
        </w:tc>
        <w:tc>
          <w:tcPr>
            <w:tcW w:w="4456" w:type="dxa"/>
            <w:tcBorders>
              <w:top w:val="nil"/>
              <w:left w:val="nil"/>
              <w:bottom w:val="single" w:sz="4" w:space="0" w:color="auto"/>
              <w:right w:val="single" w:sz="8" w:space="0" w:color="auto"/>
            </w:tcBorders>
          </w:tcPr>
          <w:p w:rsidR="00187B66" w:rsidRPr="003E16D5" w:rsidRDefault="00187B66"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 xml:space="preserve">Imposition = </w:t>
            </w:r>
          </w:p>
          <w:p w:rsidR="00187B66" w:rsidRPr="003E16D5" w:rsidRDefault="00531A7E"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w:t>
            </w:r>
            <w:r w:rsidR="00187B66" w:rsidRPr="003E16D5">
              <w:rPr>
                <w:rFonts w:ascii="Century Gothic" w:eastAsia="Times New Roman" w:hAnsi="Century Gothic" w:cs="Times New Roman"/>
                <w:color w:val="000000"/>
                <w:lang w:eastAsia="fr-FR"/>
              </w:rPr>
              <w:t>2 000 X 50%) X 30%</w:t>
            </w:r>
          </w:p>
          <w:p w:rsidR="00187B66" w:rsidRPr="003E16D5" w:rsidRDefault="00531A7E" w:rsidP="00187B66">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 xml:space="preserve">+ </w:t>
            </w:r>
            <w:r w:rsidR="00187B66" w:rsidRPr="003E16D5">
              <w:rPr>
                <w:rFonts w:ascii="Century Gothic" w:eastAsia="Times New Roman" w:hAnsi="Century Gothic" w:cs="Times New Roman"/>
                <w:color w:val="000000"/>
                <w:lang w:eastAsia="fr-FR"/>
              </w:rPr>
              <w:t xml:space="preserve">2 000 X 15,5% </w:t>
            </w:r>
          </w:p>
          <w:p w:rsidR="00187B66" w:rsidRPr="003E16D5" w:rsidRDefault="00187B66" w:rsidP="00531A7E">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b/>
                <w:color w:val="000000"/>
                <w:lang w:eastAsia="fr-FR"/>
              </w:rPr>
              <w:t xml:space="preserve">Soit </w:t>
            </w:r>
            <w:r w:rsidR="00531A7E" w:rsidRPr="003E16D5">
              <w:rPr>
                <w:rFonts w:ascii="Century Gothic" w:eastAsia="Times New Roman" w:hAnsi="Century Gothic" w:cs="Times New Roman"/>
                <w:b/>
                <w:color w:val="000000"/>
                <w:lang w:eastAsia="fr-FR"/>
              </w:rPr>
              <w:t xml:space="preserve">610 </w:t>
            </w:r>
            <w:r w:rsidRPr="003E16D5">
              <w:rPr>
                <w:rFonts w:ascii="Century Gothic" w:eastAsia="Times New Roman" w:hAnsi="Century Gothic" w:cs="Times New Roman"/>
                <w:b/>
                <w:color w:val="000000"/>
                <w:lang w:eastAsia="fr-FR"/>
              </w:rPr>
              <w:t>€</w:t>
            </w:r>
          </w:p>
        </w:tc>
      </w:tr>
      <w:tr w:rsidR="00D7643E" w:rsidRPr="003E16D5" w:rsidTr="00066136">
        <w:trPr>
          <w:trHeight w:val="315"/>
        </w:trPr>
        <w:tc>
          <w:tcPr>
            <w:tcW w:w="8505" w:type="dxa"/>
            <w:gridSpan w:val="2"/>
            <w:tcBorders>
              <w:top w:val="nil"/>
              <w:left w:val="nil"/>
              <w:bottom w:val="single" w:sz="4" w:space="0" w:color="auto"/>
              <w:right w:val="single" w:sz="8" w:space="0" w:color="auto"/>
            </w:tcBorders>
            <w:shd w:val="clear" w:color="auto" w:fill="auto"/>
            <w:noWrap/>
            <w:vAlign w:val="bottom"/>
          </w:tcPr>
          <w:p w:rsidR="00D7643E" w:rsidRDefault="00D7643E" w:rsidP="00187B66">
            <w:pPr>
              <w:spacing w:after="0" w:line="240" w:lineRule="auto"/>
              <w:jc w:val="center"/>
              <w:rPr>
                <w:rFonts w:ascii="Century Gothic" w:eastAsia="Times New Roman" w:hAnsi="Century Gothic" w:cs="Times New Roman"/>
                <w:b/>
                <w:color w:val="000000"/>
                <w:lang w:eastAsia="fr-FR"/>
              </w:rPr>
            </w:pPr>
            <w:r w:rsidRPr="003E16D5">
              <w:rPr>
                <w:rFonts w:ascii="Century Gothic" w:eastAsia="Times New Roman" w:hAnsi="Century Gothic" w:cs="Times New Roman"/>
                <w:b/>
                <w:color w:val="000000"/>
                <w:lang w:eastAsia="fr-FR"/>
              </w:rPr>
              <w:t>Imposition totale Guy </w:t>
            </w:r>
            <w:r w:rsidR="00DE71F0" w:rsidRPr="003E16D5">
              <w:rPr>
                <w:rFonts w:ascii="Century Gothic" w:eastAsia="Times New Roman" w:hAnsi="Century Gothic" w:cs="Times New Roman"/>
                <w:color w:val="000000"/>
                <w:lang w:eastAsia="fr-FR"/>
              </w:rPr>
              <w:t xml:space="preserve">(au jour de cession) </w:t>
            </w:r>
            <w:r w:rsidRPr="003E16D5">
              <w:rPr>
                <w:rFonts w:ascii="Century Gothic" w:eastAsia="Times New Roman" w:hAnsi="Century Gothic" w:cs="Times New Roman"/>
                <w:color w:val="000000"/>
                <w:lang w:eastAsia="fr-FR"/>
              </w:rPr>
              <w:t xml:space="preserve">: </w:t>
            </w:r>
            <w:r w:rsidRPr="003E16D5">
              <w:rPr>
                <w:rFonts w:ascii="Century Gothic" w:eastAsia="Times New Roman" w:hAnsi="Century Gothic" w:cs="Times New Roman"/>
                <w:b/>
                <w:color w:val="000000"/>
                <w:lang w:eastAsia="fr-FR"/>
              </w:rPr>
              <w:t xml:space="preserve">7 320 € </w:t>
            </w:r>
          </w:p>
          <w:p w:rsidR="0006764E" w:rsidRPr="003E16D5" w:rsidRDefault="0006764E" w:rsidP="00187B66">
            <w:pPr>
              <w:spacing w:after="0" w:line="240" w:lineRule="auto"/>
              <w:jc w:val="center"/>
              <w:rPr>
                <w:rFonts w:ascii="Century Gothic" w:eastAsia="Times New Roman" w:hAnsi="Century Gothic" w:cs="Times New Roman"/>
                <w:b/>
                <w:color w:val="000000"/>
                <w:lang w:eastAsia="fr-FR"/>
              </w:rPr>
            </w:pPr>
            <w:r>
              <w:rPr>
                <w:rFonts w:ascii="Century Gothic" w:eastAsia="Times New Roman" w:hAnsi="Century Gothic" w:cs="Times New Roman"/>
                <w:b/>
                <w:color w:val="000000"/>
                <w:lang w:eastAsia="fr-FR"/>
              </w:rPr>
              <w:t>Economie IR sur CSG déductible : 552 €</w:t>
            </w:r>
          </w:p>
          <w:p w:rsidR="00E6751B" w:rsidRPr="003E16D5" w:rsidRDefault="00E6751B" w:rsidP="00187B66">
            <w:pPr>
              <w:spacing w:after="0" w:line="240" w:lineRule="auto"/>
              <w:jc w:val="center"/>
              <w:rPr>
                <w:rFonts w:ascii="Century Gothic" w:eastAsia="Times New Roman" w:hAnsi="Century Gothic" w:cs="Times New Roman"/>
                <w:b/>
                <w:color w:val="000000"/>
                <w:lang w:eastAsia="fr-FR"/>
              </w:rPr>
            </w:pPr>
            <w:r w:rsidRPr="003E16D5">
              <w:rPr>
                <w:rFonts w:ascii="Century Gothic" w:eastAsia="Times New Roman" w:hAnsi="Century Gothic" w:cs="Times New Roman"/>
                <w:b/>
                <w:color w:val="000000"/>
                <w:lang w:eastAsia="fr-FR"/>
              </w:rPr>
              <w:t xml:space="preserve">Soit </w:t>
            </w:r>
            <w:r w:rsidR="00D4659C" w:rsidRPr="003E16D5">
              <w:rPr>
                <w:rFonts w:ascii="Century Gothic" w:eastAsia="Times New Roman" w:hAnsi="Century Gothic" w:cs="Times New Roman"/>
                <w:b/>
                <w:color w:val="000000"/>
                <w:lang w:eastAsia="fr-FR"/>
              </w:rPr>
              <w:t xml:space="preserve">une imposition de </w:t>
            </w:r>
            <w:r w:rsidR="0006764E">
              <w:rPr>
                <w:rFonts w:ascii="Century Gothic" w:eastAsia="Times New Roman" w:hAnsi="Century Gothic" w:cs="Times New Roman"/>
                <w:b/>
                <w:color w:val="000000"/>
                <w:lang w:eastAsia="fr-FR"/>
              </w:rPr>
              <w:t>6 768 €, soit 28</w:t>
            </w:r>
            <w:r w:rsidRPr="003E16D5">
              <w:rPr>
                <w:rFonts w:ascii="Century Gothic" w:eastAsia="Times New Roman" w:hAnsi="Century Gothic" w:cs="Times New Roman"/>
                <w:b/>
                <w:color w:val="000000"/>
                <w:lang w:eastAsia="fr-FR"/>
              </w:rPr>
              <w:t xml:space="preserve">% </w:t>
            </w:r>
          </w:p>
        </w:tc>
      </w:tr>
    </w:tbl>
    <w:p w:rsidR="00942DDE" w:rsidRPr="003E16D5" w:rsidRDefault="00942DDE" w:rsidP="00942DDE">
      <w:pPr>
        <w:pStyle w:val="Paragraphedeliste"/>
        <w:ind w:left="0"/>
        <w:jc w:val="both"/>
        <w:rPr>
          <w:rFonts w:ascii="Century Gothic" w:hAnsi="Century Gothic"/>
        </w:rPr>
      </w:pPr>
    </w:p>
    <w:p w:rsidR="005B4BD0" w:rsidRPr="003E16D5" w:rsidRDefault="007B1AE4" w:rsidP="00822920">
      <w:pPr>
        <w:pBdr>
          <w:top w:val="single" w:sz="4" w:space="1" w:color="auto"/>
          <w:left w:val="single" w:sz="4" w:space="0" w:color="auto"/>
          <w:bottom w:val="single" w:sz="4" w:space="1" w:color="auto"/>
          <w:right w:val="single" w:sz="4" w:space="4" w:color="auto"/>
        </w:pBdr>
        <w:spacing w:after="0" w:line="240" w:lineRule="auto"/>
        <w:jc w:val="both"/>
        <w:rPr>
          <w:rFonts w:ascii="Century Gothic" w:hAnsi="Century Gothic"/>
          <w:b/>
        </w:rPr>
      </w:pPr>
      <w:r w:rsidRPr="003E16D5">
        <w:rPr>
          <w:rFonts w:ascii="Century Gothic" w:hAnsi="Century Gothic"/>
          <w:b/>
        </w:rPr>
        <w:t xml:space="preserve">La société ne doit pas oublier </w:t>
      </w:r>
      <w:r w:rsidR="005B4BD0">
        <w:rPr>
          <w:rFonts w:ascii="Century Gothic" w:hAnsi="Century Gothic"/>
          <w:b/>
        </w:rPr>
        <w:t>l’obligation déclarative lors de l’attribution pour échapper aux cotisations sociales !</w:t>
      </w:r>
    </w:p>
    <w:p w:rsidR="00467A5D" w:rsidRPr="003E16D5" w:rsidRDefault="00467A5D" w:rsidP="00822920">
      <w:pPr>
        <w:pBdr>
          <w:top w:val="single" w:sz="4" w:space="1" w:color="auto"/>
          <w:left w:val="single" w:sz="4" w:space="0" w:color="auto"/>
          <w:bottom w:val="single" w:sz="4" w:space="1" w:color="auto"/>
          <w:right w:val="single" w:sz="4" w:space="4" w:color="auto"/>
        </w:pBdr>
        <w:spacing w:after="0" w:line="240" w:lineRule="auto"/>
        <w:jc w:val="both"/>
        <w:rPr>
          <w:rFonts w:ascii="Century Gothic" w:hAnsi="Century Gothic"/>
        </w:rPr>
      </w:pPr>
      <w:r w:rsidRPr="003E16D5">
        <w:rPr>
          <w:rFonts w:ascii="Century Gothic" w:hAnsi="Century Gothic"/>
        </w:rPr>
        <w:t>Au titre de l’année 2017, année d’attribution des actions gratuites</w:t>
      </w:r>
      <w:r w:rsidR="005B6837">
        <w:rPr>
          <w:rFonts w:ascii="Century Gothic" w:hAnsi="Century Gothic"/>
        </w:rPr>
        <w:t>, l</w:t>
      </w:r>
      <w:r w:rsidRPr="003E16D5">
        <w:rPr>
          <w:rFonts w:ascii="Century Gothic" w:hAnsi="Century Gothic"/>
        </w:rPr>
        <w:t xml:space="preserve">’employeur notifie à l’URSSAF l’identité des bénéficiaires, le nombre et la valeur des actions attribuées à chacun. A défaut, l'employeur est tenu au paiement de la totalité des cotisations sociales, y compris pour leur part </w:t>
      </w:r>
      <w:r w:rsidR="005B4BD0" w:rsidRPr="003E16D5">
        <w:rPr>
          <w:rFonts w:ascii="Century Gothic" w:hAnsi="Century Gothic"/>
        </w:rPr>
        <w:t>salariale</w:t>
      </w:r>
      <w:r w:rsidR="005B4BD0">
        <w:rPr>
          <w:rFonts w:ascii="Century Gothic" w:hAnsi="Century Gothic"/>
        </w:rPr>
        <w:t>.</w:t>
      </w:r>
    </w:p>
    <w:p w:rsidR="003A66D4" w:rsidRPr="00A427AD" w:rsidRDefault="003A66D4" w:rsidP="00A427AD">
      <w:pPr>
        <w:jc w:val="both"/>
        <w:rPr>
          <w:rFonts w:ascii="Century Gothic" w:hAnsi="Century Gothic"/>
        </w:rPr>
      </w:pPr>
    </w:p>
    <w:p w:rsidR="003A66D4" w:rsidRDefault="003A66D4" w:rsidP="003A66D4">
      <w:pPr>
        <w:spacing w:after="0" w:line="240" w:lineRule="auto"/>
        <w:rPr>
          <w:rFonts w:ascii="Century Gothic" w:hAnsi="Century Gothic" w:cs="DINPro-Light"/>
          <w:b/>
        </w:rPr>
      </w:pPr>
      <w:r>
        <w:rPr>
          <w:rFonts w:ascii="Century Gothic" w:hAnsi="Century Gothic" w:cs="DINPro-Light"/>
          <w:b/>
        </w:rPr>
        <w:t>3</w:t>
      </w:r>
      <w:r w:rsidRPr="003E16D5">
        <w:rPr>
          <w:rFonts w:ascii="Century Gothic" w:hAnsi="Century Gothic" w:cs="DINPro-Light"/>
          <w:b/>
        </w:rPr>
        <w:t xml:space="preserve">) </w:t>
      </w:r>
      <w:r w:rsidR="00984E01">
        <w:rPr>
          <w:rFonts w:ascii="Century Gothic" w:hAnsi="Century Gothic" w:cs="DINPro-Light"/>
          <w:b/>
        </w:rPr>
        <w:t xml:space="preserve">TRANSMISSION DE LA SOCIETE AU SALARIE </w:t>
      </w:r>
      <w:r w:rsidR="00BE2F5B">
        <w:rPr>
          <w:rFonts w:ascii="Century Gothic" w:hAnsi="Century Gothic" w:cs="DINPro-Light"/>
          <w:b/>
        </w:rPr>
        <w:t xml:space="preserve"> </w:t>
      </w:r>
      <w:r>
        <w:rPr>
          <w:rFonts w:ascii="Century Gothic" w:hAnsi="Century Gothic" w:cs="DINPro-Light"/>
          <w:b/>
        </w:rPr>
        <w:t xml:space="preserve"> </w:t>
      </w:r>
    </w:p>
    <w:p w:rsidR="003A66D4" w:rsidRPr="003E16D5" w:rsidRDefault="003A66D4" w:rsidP="003A66D4">
      <w:pPr>
        <w:spacing w:after="0" w:line="240" w:lineRule="auto"/>
        <w:rPr>
          <w:rFonts w:ascii="Century Gothic" w:hAnsi="Century Gothic" w:cs="DINPro-Light"/>
          <w:b/>
        </w:rPr>
      </w:pPr>
    </w:p>
    <w:p w:rsidR="003E16D5" w:rsidRDefault="005666B6" w:rsidP="002508D7">
      <w:pPr>
        <w:spacing w:after="0" w:line="240" w:lineRule="auto"/>
        <w:jc w:val="both"/>
        <w:rPr>
          <w:rFonts w:ascii="Century Gothic" w:hAnsi="Century Gothic" w:cs="DINPro-Light"/>
          <w:color w:val="221E1F"/>
        </w:rPr>
      </w:pPr>
      <w:r>
        <w:rPr>
          <w:rFonts w:ascii="Century Gothic" w:hAnsi="Century Gothic" w:cs="DINPro-Light"/>
          <w:color w:val="221E1F"/>
        </w:rPr>
        <w:t xml:space="preserve">En 2022, </w:t>
      </w:r>
      <w:r w:rsidR="003A66D4" w:rsidRPr="003E16D5">
        <w:rPr>
          <w:rFonts w:ascii="Century Gothic" w:hAnsi="Century Gothic" w:cs="DINPro-Light"/>
          <w:color w:val="221E1F"/>
        </w:rPr>
        <w:t>M. Yves DUPONT</w:t>
      </w:r>
      <w:r w:rsidR="003A66D4" w:rsidRPr="003E16D5">
        <w:rPr>
          <w:rFonts w:ascii="Century Gothic" w:hAnsi="Century Gothic"/>
        </w:rPr>
        <w:t xml:space="preserve"> </w:t>
      </w:r>
      <w:r>
        <w:rPr>
          <w:rFonts w:ascii="Century Gothic" w:hAnsi="Century Gothic"/>
        </w:rPr>
        <w:t xml:space="preserve">envisage de </w:t>
      </w:r>
      <w:r w:rsidR="00784841">
        <w:rPr>
          <w:rFonts w:ascii="Century Gothic" w:hAnsi="Century Gothic"/>
        </w:rPr>
        <w:t>cesser son activité professionnelle</w:t>
      </w:r>
      <w:r w:rsidR="00C501B5">
        <w:rPr>
          <w:rFonts w:ascii="Century Gothic" w:hAnsi="Century Gothic"/>
        </w:rPr>
        <w:t xml:space="preserve">, </w:t>
      </w:r>
      <w:r w:rsidR="00C501B5">
        <w:rPr>
          <w:rFonts w:ascii="Century Gothic" w:hAnsi="Century Gothic" w:cs="DINPro-Light"/>
          <w:color w:val="221E1F"/>
        </w:rPr>
        <w:t>valorisée à 1 200 000 €</w:t>
      </w:r>
      <w:r w:rsidR="00C501B5" w:rsidRPr="003E16D5">
        <w:rPr>
          <w:rFonts w:ascii="Century Gothic" w:hAnsi="Century Gothic" w:cs="DINPro-Light"/>
          <w:color w:val="221E1F"/>
        </w:rPr>
        <w:t>,</w:t>
      </w:r>
      <w:r w:rsidR="00784841">
        <w:rPr>
          <w:rFonts w:ascii="Century Gothic" w:hAnsi="Century Gothic"/>
        </w:rPr>
        <w:t xml:space="preserve"> Ses deux enfants ne souhaitent pas reprendre l’entreprise. </w:t>
      </w:r>
      <w:r w:rsidR="00B0535B">
        <w:rPr>
          <w:rFonts w:ascii="Century Gothic" w:hAnsi="Century Gothic"/>
        </w:rPr>
        <w:t xml:space="preserve">Très attaché à la pérennité de son entreprise, il souhaite trouver une solution </w:t>
      </w:r>
      <w:r w:rsidR="00E7672B">
        <w:rPr>
          <w:rFonts w:ascii="Century Gothic" w:hAnsi="Century Gothic"/>
        </w:rPr>
        <w:t>pour faciliter la reprise de son entreprise par son salarié.</w:t>
      </w:r>
      <w:r w:rsidR="009107D3">
        <w:rPr>
          <w:rFonts w:ascii="Century Gothic" w:hAnsi="Century Gothic"/>
        </w:rPr>
        <w:t xml:space="preserve"> </w:t>
      </w:r>
      <w:r w:rsidR="00D6543C">
        <w:rPr>
          <w:rFonts w:ascii="Century Gothic" w:hAnsi="Century Gothic"/>
        </w:rPr>
        <w:t>Une</w:t>
      </w:r>
      <w:r w:rsidR="00D6543C" w:rsidRPr="00D6543C">
        <w:rPr>
          <w:rFonts w:ascii="Century Gothic" w:hAnsi="Century Gothic"/>
        </w:rPr>
        <w:t xml:space="preserve"> donation </w:t>
      </w:r>
      <w:r w:rsidR="00E7672B">
        <w:rPr>
          <w:rFonts w:ascii="Century Gothic" w:hAnsi="Century Gothic"/>
        </w:rPr>
        <w:t xml:space="preserve">d’une partie des titres </w:t>
      </w:r>
      <w:r w:rsidR="00D6543C">
        <w:rPr>
          <w:rFonts w:ascii="Century Gothic" w:hAnsi="Century Gothic"/>
        </w:rPr>
        <w:t>au chef d’équipe Claude</w:t>
      </w:r>
      <w:r w:rsidR="00E7672B">
        <w:rPr>
          <w:rFonts w:ascii="Century Gothic" w:hAnsi="Century Gothic"/>
        </w:rPr>
        <w:t xml:space="preserve">, repreneur </w:t>
      </w:r>
      <w:r w:rsidR="00CA0EDB">
        <w:rPr>
          <w:rFonts w:ascii="Century Gothic" w:hAnsi="Century Gothic"/>
        </w:rPr>
        <w:t>identifié</w:t>
      </w:r>
      <w:r w:rsidR="00E7672B">
        <w:rPr>
          <w:rFonts w:ascii="Century Gothic" w:hAnsi="Century Gothic"/>
        </w:rPr>
        <w:t>,</w:t>
      </w:r>
      <w:r w:rsidR="00D6543C">
        <w:rPr>
          <w:rFonts w:ascii="Century Gothic" w:hAnsi="Century Gothic"/>
        </w:rPr>
        <w:t xml:space="preserve"> est envisagée. </w:t>
      </w:r>
    </w:p>
    <w:p w:rsidR="002508D7" w:rsidRPr="002508D7" w:rsidRDefault="002508D7" w:rsidP="002508D7">
      <w:pPr>
        <w:spacing w:after="0" w:line="240" w:lineRule="auto"/>
        <w:jc w:val="both"/>
        <w:rPr>
          <w:rFonts w:ascii="Century Gothic" w:hAnsi="Century Gothic" w:cs="DINPro-Light"/>
          <w:color w:val="221E1F"/>
        </w:rPr>
      </w:pPr>
    </w:p>
    <w:p w:rsidR="003E16D5" w:rsidRPr="003E16D5" w:rsidRDefault="003E16D5" w:rsidP="003E16D5">
      <w:pPr>
        <w:jc w:val="both"/>
        <w:rPr>
          <w:rFonts w:ascii="Century Gothic" w:hAnsi="Century Gothic"/>
          <w:b/>
        </w:rPr>
      </w:pPr>
      <w:r w:rsidRPr="003E16D5">
        <w:rPr>
          <w:rFonts w:ascii="Century Gothic" w:hAnsi="Century Gothic"/>
          <w:b/>
        </w:rPr>
        <w:t xml:space="preserve">L’intérêt de la donation-partage… </w:t>
      </w:r>
    </w:p>
    <w:p w:rsidR="008A5AC7" w:rsidRDefault="003E16D5" w:rsidP="003E16D5">
      <w:pPr>
        <w:jc w:val="both"/>
        <w:rPr>
          <w:rFonts w:ascii="Century Gothic" w:hAnsi="Century Gothic"/>
        </w:rPr>
      </w:pPr>
      <w:r w:rsidRPr="003E16D5">
        <w:rPr>
          <w:rFonts w:ascii="Century Gothic" w:hAnsi="Century Gothic"/>
        </w:rPr>
        <w:t xml:space="preserve">Au cas d’espèce, Monsieur </w:t>
      </w:r>
      <w:r w:rsidR="002508D7">
        <w:rPr>
          <w:rFonts w:ascii="Century Gothic" w:hAnsi="Century Gothic"/>
        </w:rPr>
        <w:t>DUPONT</w:t>
      </w:r>
      <w:r w:rsidRPr="003E16D5">
        <w:rPr>
          <w:rFonts w:ascii="Century Gothic" w:hAnsi="Century Gothic"/>
        </w:rPr>
        <w:t xml:space="preserve"> aurait intérêt à favoriser la transmission de sa société en faveur de </w:t>
      </w:r>
      <w:r w:rsidR="009E0A25">
        <w:rPr>
          <w:rFonts w:ascii="Century Gothic" w:hAnsi="Century Gothic"/>
        </w:rPr>
        <w:t>Claude</w:t>
      </w:r>
      <w:r w:rsidRPr="003E16D5">
        <w:rPr>
          <w:rFonts w:ascii="Century Gothic" w:hAnsi="Century Gothic"/>
        </w:rPr>
        <w:t xml:space="preserve"> par le moyen d’une donation-partage avec une soulte. Pour mémoire, la donation-partage est un acte par lequel le donateur donne et partage de son vivant tout ou partie de ses biens présents entre héritiers présomptifs. La donation-partage permet une remarquable stabilité de la transmission dans le </w:t>
      </w:r>
      <w:r w:rsidRPr="003E16D5">
        <w:rPr>
          <w:rFonts w:ascii="Century Gothic" w:hAnsi="Century Gothic"/>
        </w:rPr>
        <w:lastRenderedPageBreak/>
        <w:t xml:space="preserve">temps car les valeurs des biens transmis sont figées au moment de la donation-partage. </w:t>
      </w:r>
    </w:p>
    <w:p w:rsidR="008A5AC7" w:rsidRDefault="003E16D5" w:rsidP="003E16D5">
      <w:pPr>
        <w:jc w:val="both"/>
        <w:rPr>
          <w:rFonts w:ascii="Century Gothic" w:hAnsi="Century Gothic"/>
        </w:rPr>
      </w:pPr>
      <w:r w:rsidRPr="003E16D5">
        <w:rPr>
          <w:rFonts w:ascii="Century Gothic" w:hAnsi="Century Gothic"/>
        </w:rPr>
        <w:t xml:space="preserve">En règle générale, la donation-partage doit impliquer uniquement les héritiers présomptifs du donateur, sauf deux cas particuliers : la donation-partage transgénérationnelle, et la donation d’entreprise ou de titres de société. Cette deuxième exception, prévue à l’article 1075-2 du Code civil, nous intéresse puisqu’elle permet de faire participer </w:t>
      </w:r>
      <w:r w:rsidR="009107D3">
        <w:rPr>
          <w:rFonts w:ascii="Century Gothic" w:hAnsi="Century Gothic"/>
        </w:rPr>
        <w:t>Claude</w:t>
      </w:r>
      <w:r w:rsidRPr="003E16D5">
        <w:rPr>
          <w:rFonts w:ascii="Century Gothic" w:hAnsi="Century Gothic"/>
        </w:rPr>
        <w:t xml:space="preserve"> à la donation-partage des titres de la société, et de figer définitivement les valeurs transmises. Cet avantage est d’autant plus important que la libéralité consentie en faveur de </w:t>
      </w:r>
      <w:r w:rsidR="009E0A25">
        <w:rPr>
          <w:rFonts w:ascii="Century Gothic" w:hAnsi="Century Gothic"/>
        </w:rPr>
        <w:t>Claude</w:t>
      </w:r>
      <w:r w:rsidRPr="003E16D5">
        <w:rPr>
          <w:rFonts w:ascii="Century Gothic" w:hAnsi="Century Gothic"/>
        </w:rPr>
        <w:t xml:space="preserve"> s’imputera nécessairement sur la quotité disponible. </w:t>
      </w:r>
    </w:p>
    <w:p w:rsidR="003E16D5" w:rsidRPr="003E16D5" w:rsidRDefault="003E16D5" w:rsidP="003E16D5">
      <w:pPr>
        <w:jc w:val="both"/>
        <w:rPr>
          <w:rFonts w:ascii="Century Gothic" w:hAnsi="Century Gothic"/>
        </w:rPr>
      </w:pPr>
      <w:r w:rsidRPr="003E16D5">
        <w:rPr>
          <w:rFonts w:ascii="Century Gothic" w:hAnsi="Century Gothic"/>
        </w:rPr>
        <w:t>S’agissant de titres de société ayant par nature une volatilité importante, cette donation-partage permet de sécuriser la transmission sans avoir nécessairement recours à une renonciation par anticipation à l’action en réduction des héritiers. Le donateur est libre de rompre l’égalité entre les gratifiés sans remettre en cause la donation-partage. Il est possible d’avantager ici en valeur l’héritier plutôt que le tiers : cette répartition protège la réserve de l’héritier et réduit le coût fiscal d’une transmission à un tiers.  Cette donation-partage « inégalitaire »</w:t>
      </w:r>
      <w:r w:rsidR="008B6590">
        <w:rPr>
          <w:rFonts w:ascii="Century Gothic" w:hAnsi="Century Gothic"/>
        </w:rPr>
        <w:t xml:space="preserve">, à laquelle les enfants de Monsieur DUPONT et Claude </w:t>
      </w:r>
      <w:r w:rsidR="0091685D">
        <w:rPr>
          <w:rFonts w:ascii="Century Gothic" w:hAnsi="Century Gothic"/>
        </w:rPr>
        <w:t>seront gratifiés</w:t>
      </w:r>
      <w:r w:rsidR="008B6590">
        <w:rPr>
          <w:rFonts w:ascii="Century Gothic" w:hAnsi="Century Gothic"/>
        </w:rPr>
        <w:t>,</w:t>
      </w:r>
      <w:r w:rsidRPr="003E16D5">
        <w:rPr>
          <w:rFonts w:ascii="Century Gothic" w:hAnsi="Century Gothic"/>
        </w:rPr>
        <w:t xml:space="preserve"> sera par la suite ajustée grâce aux attributions des lots et de la soulte. </w:t>
      </w:r>
    </w:p>
    <w:p w:rsidR="008A5AC7" w:rsidRDefault="008A5AC7" w:rsidP="003E16D5">
      <w:pPr>
        <w:jc w:val="both"/>
        <w:rPr>
          <w:rFonts w:ascii="Century Gothic" w:hAnsi="Century Gothic"/>
          <w:b/>
        </w:rPr>
      </w:pPr>
    </w:p>
    <w:p w:rsidR="003E16D5" w:rsidRPr="003E16D5" w:rsidRDefault="003E16D5" w:rsidP="003E16D5">
      <w:pPr>
        <w:jc w:val="both"/>
        <w:rPr>
          <w:rFonts w:ascii="Century Gothic" w:hAnsi="Century Gothic"/>
          <w:b/>
        </w:rPr>
      </w:pPr>
      <w:r w:rsidRPr="003E16D5">
        <w:rPr>
          <w:rFonts w:ascii="Century Gothic" w:hAnsi="Century Gothic"/>
          <w:b/>
        </w:rPr>
        <w:t>Combinaison du pacte Dutreil et de l’abattement en faveur d’un salarié</w:t>
      </w:r>
    </w:p>
    <w:p w:rsidR="003E16D5" w:rsidRDefault="003E16D5" w:rsidP="00822920">
      <w:pPr>
        <w:jc w:val="both"/>
        <w:rPr>
          <w:rFonts w:ascii="Century Gothic" w:hAnsi="Century Gothic"/>
        </w:rPr>
      </w:pPr>
      <w:r w:rsidRPr="003E16D5">
        <w:rPr>
          <w:rFonts w:ascii="Century Gothic" w:hAnsi="Century Gothic"/>
        </w:rPr>
        <w:t>La transmission d’entreprise bénéficie en France d’un traitement particulièrement avantageux pour les droits d’enregistrement. D’une part, l’engagement Dutreil permet d’obtenir un abattement de 75% sur la valeur des titres transmis, et d’une réduction des droits de donation de 50% lorsque le donateur est âgé de moins de 70 ans. D’autre part, lorsque le gratifié est un salarié, il existe un abattement fixe de 300 000 € applicable sur la valeur des titres représentative du fonds ou de la clientèle. Les deux dispositifs peuvent se cumuler, mais dans ce cas, l’abattement Dutreil n’est applicable que sur la valeur des titres représentative du fonds ou de la clientèle. Leur cumul n’est donc pas toujours avantageux : plus le quote-part de valeur du fonds est importante par rapport aux autres actifs, plus le cumul sera intéressant ! A l’inverse, il sera souvent plus intéressant de privilégier une transmission basée uniquement sur le régime du Dutreil, dont l’intérêt majeur est qu’il permet de bénéficier de l’abattement également sur l’actif non éligible tant que ce dernier ne dépasse pas les seuils de 50% de l’actif et du chiffre d’affaire généré.  Ces avantages sont encore plus intéressants lorsque le donataire est un tiers puisque les droits sont calculés sur une tranche à 60% sans aucun abattement. Dans notre cas, la valeur du fonds de commerce représente 60% de la valeur totale de la société estimée à 1 200 000 € :</w:t>
      </w:r>
    </w:p>
    <w:p w:rsidR="00B33B65" w:rsidRDefault="00B33B65">
      <w:pPr>
        <w:rPr>
          <w:rFonts w:ascii="Century Gothic" w:hAnsi="Century Gothic"/>
        </w:rPr>
      </w:pPr>
      <w:r>
        <w:rPr>
          <w:rFonts w:ascii="Century Gothic" w:hAnsi="Century Gothic"/>
        </w:rPr>
        <w:br w:type="page"/>
      </w:r>
    </w:p>
    <w:p w:rsidR="00B33B65" w:rsidRPr="003E16D5" w:rsidRDefault="00B33B65" w:rsidP="00822920">
      <w:pPr>
        <w:jc w:val="both"/>
        <w:rPr>
          <w:rFonts w:ascii="Century Gothic" w:hAnsi="Century Gothic"/>
        </w:rPr>
      </w:pPr>
    </w:p>
    <w:tbl>
      <w:tblPr>
        <w:tblW w:w="5000" w:type="pct"/>
        <w:tblLayout w:type="fixed"/>
        <w:tblCellMar>
          <w:left w:w="70" w:type="dxa"/>
          <w:right w:w="70" w:type="dxa"/>
        </w:tblCellMar>
        <w:tblLook w:val="04A0" w:firstRow="1" w:lastRow="0" w:firstColumn="1" w:lastColumn="0" w:noHBand="0" w:noVBand="1"/>
      </w:tblPr>
      <w:tblGrid>
        <w:gridCol w:w="3261"/>
        <w:gridCol w:w="2202"/>
        <w:gridCol w:w="2006"/>
        <w:gridCol w:w="1593"/>
      </w:tblGrid>
      <w:tr w:rsidR="003E16D5" w:rsidRPr="003E16D5" w:rsidTr="00172223">
        <w:trPr>
          <w:trHeight w:val="315"/>
        </w:trPr>
        <w:tc>
          <w:tcPr>
            <w:tcW w:w="1799" w:type="pct"/>
            <w:tcBorders>
              <w:top w:val="nil"/>
              <w:left w:val="nil"/>
              <w:bottom w:val="nil"/>
              <w:right w:val="nil"/>
            </w:tcBorders>
            <w:shd w:val="clear" w:color="auto" w:fill="auto"/>
            <w:noWrap/>
            <w:vAlign w:val="bottom"/>
            <w:hideMark/>
          </w:tcPr>
          <w:p w:rsidR="003E16D5" w:rsidRPr="003E16D5" w:rsidRDefault="003E16D5" w:rsidP="00172223">
            <w:pPr>
              <w:spacing w:after="0" w:line="240" w:lineRule="auto"/>
              <w:rPr>
                <w:rFonts w:ascii="Century Gothic" w:eastAsia="Times New Roman" w:hAnsi="Century Gothic" w:cs="Times New Roman"/>
                <w:lang w:eastAsia="fr-FR"/>
              </w:rPr>
            </w:pPr>
          </w:p>
        </w:tc>
        <w:tc>
          <w:tcPr>
            <w:tcW w:w="2322" w:type="pct"/>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3E16D5" w:rsidRPr="003E16D5" w:rsidRDefault="003E16D5" w:rsidP="00172223">
            <w:pPr>
              <w:spacing w:after="0" w:line="240" w:lineRule="auto"/>
              <w:jc w:val="center"/>
              <w:rPr>
                <w:rFonts w:ascii="Century Gothic" w:eastAsia="Times New Roman" w:hAnsi="Century Gothic" w:cs="Times New Roman"/>
                <w:b/>
                <w:bCs/>
                <w:color w:val="FFFFFF"/>
                <w:lang w:eastAsia="fr-FR"/>
              </w:rPr>
            </w:pPr>
            <w:r w:rsidRPr="003E16D5">
              <w:rPr>
                <w:rFonts w:ascii="Century Gothic" w:eastAsia="Times New Roman" w:hAnsi="Century Gothic" w:cs="Times New Roman"/>
                <w:b/>
                <w:bCs/>
                <w:color w:val="FFFFFF"/>
                <w:lang w:eastAsia="fr-FR"/>
              </w:rPr>
              <w:t>Cumul Dutreil et donation en faveur d'un salarié</w:t>
            </w:r>
          </w:p>
        </w:tc>
        <w:tc>
          <w:tcPr>
            <w:tcW w:w="879" w:type="pct"/>
            <w:tcBorders>
              <w:top w:val="single" w:sz="8" w:space="0" w:color="auto"/>
              <w:left w:val="nil"/>
              <w:bottom w:val="single" w:sz="8" w:space="0" w:color="auto"/>
              <w:right w:val="single" w:sz="8" w:space="0" w:color="auto"/>
            </w:tcBorders>
            <w:shd w:val="clear" w:color="000000" w:fill="002060"/>
            <w:noWrap/>
            <w:vAlign w:val="center"/>
            <w:hideMark/>
          </w:tcPr>
          <w:p w:rsidR="003E16D5" w:rsidRPr="003E16D5" w:rsidRDefault="003E16D5" w:rsidP="00172223">
            <w:pPr>
              <w:spacing w:after="0" w:line="240" w:lineRule="auto"/>
              <w:jc w:val="center"/>
              <w:rPr>
                <w:rFonts w:ascii="Century Gothic" w:eastAsia="Times New Roman" w:hAnsi="Century Gothic" w:cs="Times New Roman"/>
                <w:b/>
                <w:bCs/>
                <w:color w:val="FFFFFF"/>
                <w:lang w:eastAsia="fr-FR"/>
              </w:rPr>
            </w:pPr>
            <w:r w:rsidRPr="003E16D5">
              <w:rPr>
                <w:rFonts w:ascii="Century Gothic" w:eastAsia="Times New Roman" w:hAnsi="Century Gothic" w:cs="Times New Roman"/>
                <w:b/>
                <w:bCs/>
                <w:color w:val="FFFFFF"/>
                <w:lang w:eastAsia="fr-FR"/>
              </w:rPr>
              <w:t>Dutreil classique</w:t>
            </w:r>
          </w:p>
        </w:tc>
      </w:tr>
      <w:tr w:rsidR="003E16D5" w:rsidRPr="003E16D5" w:rsidTr="00172223">
        <w:trPr>
          <w:trHeight w:val="323"/>
        </w:trPr>
        <w:tc>
          <w:tcPr>
            <w:tcW w:w="1799" w:type="pct"/>
            <w:tcBorders>
              <w:top w:val="nil"/>
              <w:left w:val="nil"/>
              <w:bottom w:val="nil"/>
              <w:right w:val="nil"/>
            </w:tcBorders>
            <w:shd w:val="clear" w:color="auto" w:fill="auto"/>
            <w:noWrap/>
            <w:vAlign w:val="bottom"/>
            <w:hideMark/>
          </w:tcPr>
          <w:p w:rsidR="003E16D5" w:rsidRPr="003E16D5" w:rsidRDefault="003E16D5" w:rsidP="00172223">
            <w:pPr>
              <w:spacing w:after="0" w:line="240" w:lineRule="auto"/>
              <w:jc w:val="center"/>
              <w:rPr>
                <w:rFonts w:ascii="Century Gothic" w:eastAsia="Times New Roman" w:hAnsi="Century Gothic" w:cs="Times New Roman"/>
                <w:b/>
                <w:bCs/>
                <w:color w:val="FFFFFF"/>
                <w:lang w:eastAsia="fr-FR"/>
              </w:rPr>
            </w:pPr>
          </w:p>
        </w:tc>
        <w:tc>
          <w:tcPr>
            <w:tcW w:w="1215" w:type="pct"/>
            <w:tcBorders>
              <w:top w:val="nil"/>
              <w:left w:val="single" w:sz="8" w:space="0" w:color="auto"/>
              <w:bottom w:val="nil"/>
              <w:right w:val="single" w:sz="8" w:space="0" w:color="auto"/>
            </w:tcBorders>
            <w:shd w:val="clear" w:color="000000" w:fill="002060"/>
            <w:noWrap/>
            <w:vAlign w:val="center"/>
            <w:hideMark/>
          </w:tcPr>
          <w:p w:rsidR="003E16D5" w:rsidRPr="003E16D5" w:rsidRDefault="003E16D5" w:rsidP="00172223">
            <w:pPr>
              <w:spacing w:after="0" w:line="240" w:lineRule="auto"/>
              <w:jc w:val="center"/>
              <w:rPr>
                <w:rFonts w:ascii="Century Gothic" w:eastAsia="Times New Roman" w:hAnsi="Century Gothic" w:cs="Times New Roman"/>
                <w:i/>
                <w:iCs/>
                <w:color w:val="FFFFFF"/>
                <w:lang w:eastAsia="fr-FR"/>
              </w:rPr>
            </w:pPr>
            <w:r w:rsidRPr="003E16D5">
              <w:rPr>
                <w:rFonts w:ascii="Century Gothic" w:eastAsia="Times New Roman" w:hAnsi="Century Gothic" w:cs="Times New Roman"/>
                <w:i/>
                <w:iCs/>
                <w:color w:val="FFFFFF"/>
                <w:lang w:eastAsia="fr-FR"/>
              </w:rPr>
              <w:t>Valeur représentative du fond</w:t>
            </w:r>
          </w:p>
        </w:tc>
        <w:tc>
          <w:tcPr>
            <w:tcW w:w="1107" w:type="pct"/>
            <w:tcBorders>
              <w:top w:val="nil"/>
              <w:left w:val="nil"/>
              <w:bottom w:val="nil"/>
              <w:right w:val="single" w:sz="8" w:space="0" w:color="auto"/>
            </w:tcBorders>
            <w:shd w:val="clear" w:color="000000" w:fill="002060"/>
            <w:noWrap/>
            <w:vAlign w:val="center"/>
            <w:hideMark/>
          </w:tcPr>
          <w:p w:rsidR="003E16D5" w:rsidRPr="003E16D5" w:rsidRDefault="003E16D5" w:rsidP="00172223">
            <w:pPr>
              <w:spacing w:after="0" w:line="240" w:lineRule="auto"/>
              <w:jc w:val="center"/>
              <w:rPr>
                <w:rFonts w:ascii="Century Gothic" w:eastAsia="Times New Roman" w:hAnsi="Century Gothic" w:cs="Times New Roman"/>
                <w:i/>
                <w:iCs/>
                <w:color w:val="FFFFFF"/>
                <w:lang w:eastAsia="fr-FR"/>
              </w:rPr>
            </w:pPr>
            <w:r w:rsidRPr="003E16D5">
              <w:rPr>
                <w:rFonts w:ascii="Century Gothic" w:eastAsia="Times New Roman" w:hAnsi="Century Gothic" w:cs="Times New Roman"/>
                <w:i/>
                <w:iCs/>
                <w:color w:val="FFFFFF"/>
                <w:lang w:eastAsia="fr-FR"/>
              </w:rPr>
              <w:t>Valeur des autres actifs</w:t>
            </w:r>
          </w:p>
        </w:tc>
        <w:tc>
          <w:tcPr>
            <w:tcW w:w="879" w:type="pct"/>
            <w:tcBorders>
              <w:top w:val="nil"/>
              <w:left w:val="nil"/>
              <w:bottom w:val="nil"/>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p>
        </w:tc>
      </w:tr>
      <w:tr w:rsidR="003E16D5" w:rsidRPr="003E16D5" w:rsidTr="00172223">
        <w:trPr>
          <w:trHeight w:val="50"/>
        </w:trPr>
        <w:tc>
          <w:tcPr>
            <w:tcW w:w="1799" w:type="pct"/>
            <w:tcBorders>
              <w:top w:val="single" w:sz="8" w:space="0" w:color="auto"/>
              <w:left w:val="single" w:sz="8" w:space="0" w:color="auto"/>
              <w:bottom w:val="single" w:sz="4" w:space="0" w:color="auto"/>
              <w:right w:val="single" w:sz="8" w:space="0" w:color="auto"/>
            </w:tcBorders>
            <w:shd w:val="clear" w:color="000000" w:fill="002060"/>
            <w:noWrap/>
            <w:vAlign w:val="bottom"/>
            <w:hideMark/>
          </w:tcPr>
          <w:p w:rsidR="003E16D5" w:rsidRPr="003E16D5" w:rsidRDefault="003E16D5" w:rsidP="00172223">
            <w:pPr>
              <w:spacing w:after="0" w:line="240" w:lineRule="auto"/>
              <w:rPr>
                <w:rFonts w:ascii="Century Gothic" w:eastAsia="Times New Roman" w:hAnsi="Century Gothic" w:cs="Times New Roman"/>
                <w:color w:val="FFFFFF"/>
                <w:lang w:eastAsia="fr-FR"/>
              </w:rPr>
            </w:pPr>
            <w:r w:rsidRPr="003E16D5">
              <w:rPr>
                <w:rFonts w:ascii="Century Gothic" w:eastAsia="Times New Roman" w:hAnsi="Century Gothic" w:cs="Times New Roman"/>
                <w:color w:val="FFFFFF"/>
                <w:lang w:eastAsia="fr-FR"/>
              </w:rPr>
              <w:t>Montant à transmettre</w:t>
            </w:r>
          </w:p>
        </w:tc>
        <w:tc>
          <w:tcPr>
            <w:tcW w:w="1215" w:type="pct"/>
            <w:tcBorders>
              <w:top w:val="single" w:sz="8" w:space="0" w:color="auto"/>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720 000 €</w:t>
            </w:r>
          </w:p>
        </w:tc>
        <w:tc>
          <w:tcPr>
            <w:tcW w:w="1107" w:type="pct"/>
            <w:tcBorders>
              <w:top w:val="single" w:sz="8" w:space="0" w:color="auto"/>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480 000 €</w:t>
            </w:r>
          </w:p>
        </w:tc>
        <w:tc>
          <w:tcPr>
            <w:tcW w:w="879" w:type="pct"/>
            <w:tcBorders>
              <w:top w:val="single" w:sz="8" w:space="0" w:color="auto"/>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1 200 000 €</w:t>
            </w:r>
          </w:p>
        </w:tc>
      </w:tr>
      <w:tr w:rsidR="003E16D5" w:rsidRPr="003E16D5" w:rsidTr="00172223">
        <w:trPr>
          <w:trHeight w:val="60"/>
        </w:trPr>
        <w:tc>
          <w:tcPr>
            <w:tcW w:w="1799" w:type="pct"/>
            <w:tcBorders>
              <w:top w:val="nil"/>
              <w:left w:val="single" w:sz="8" w:space="0" w:color="auto"/>
              <w:bottom w:val="single" w:sz="4" w:space="0" w:color="auto"/>
              <w:right w:val="single" w:sz="8" w:space="0" w:color="auto"/>
            </w:tcBorders>
            <w:shd w:val="clear" w:color="000000" w:fill="002060"/>
            <w:noWrap/>
            <w:vAlign w:val="bottom"/>
            <w:hideMark/>
          </w:tcPr>
          <w:p w:rsidR="003E16D5" w:rsidRPr="003E16D5" w:rsidRDefault="003E16D5" w:rsidP="00172223">
            <w:pPr>
              <w:spacing w:after="0" w:line="240" w:lineRule="auto"/>
              <w:rPr>
                <w:rFonts w:ascii="Century Gothic" w:eastAsia="Times New Roman" w:hAnsi="Century Gothic" w:cs="Times New Roman"/>
                <w:color w:val="FFFFFF"/>
                <w:lang w:eastAsia="fr-FR"/>
              </w:rPr>
            </w:pPr>
            <w:r w:rsidRPr="003E16D5">
              <w:rPr>
                <w:rFonts w:ascii="Century Gothic" w:eastAsia="Times New Roman" w:hAnsi="Century Gothic" w:cs="Times New Roman"/>
                <w:color w:val="FFFFFF"/>
                <w:lang w:eastAsia="fr-FR"/>
              </w:rPr>
              <w:t>Abattement Dutreil</w:t>
            </w:r>
          </w:p>
        </w:tc>
        <w:tc>
          <w:tcPr>
            <w:tcW w:w="1215"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540 000 €</w:t>
            </w:r>
          </w:p>
        </w:tc>
        <w:tc>
          <w:tcPr>
            <w:tcW w:w="1107"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p>
        </w:tc>
        <w:tc>
          <w:tcPr>
            <w:tcW w:w="879"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900 000 €</w:t>
            </w:r>
          </w:p>
        </w:tc>
      </w:tr>
      <w:tr w:rsidR="003E16D5" w:rsidRPr="003E16D5" w:rsidTr="00172223">
        <w:trPr>
          <w:trHeight w:val="60"/>
        </w:trPr>
        <w:tc>
          <w:tcPr>
            <w:tcW w:w="1799" w:type="pct"/>
            <w:tcBorders>
              <w:top w:val="nil"/>
              <w:left w:val="single" w:sz="8" w:space="0" w:color="auto"/>
              <w:bottom w:val="single" w:sz="4" w:space="0" w:color="auto"/>
              <w:right w:val="single" w:sz="8" w:space="0" w:color="auto"/>
            </w:tcBorders>
            <w:shd w:val="clear" w:color="000000" w:fill="002060"/>
            <w:noWrap/>
            <w:vAlign w:val="bottom"/>
            <w:hideMark/>
          </w:tcPr>
          <w:p w:rsidR="003E16D5" w:rsidRPr="003E16D5" w:rsidRDefault="003E16D5" w:rsidP="00172223">
            <w:pPr>
              <w:spacing w:after="0" w:line="240" w:lineRule="auto"/>
              <w:rPr>
                <w:rFonts w:ascii="Century Gothic" w:eastAsia="Times New Roman" w:hAnsi="Century Gothic" w:cs="Times New Roman"/>
                <w:color w:val="FFFFFF"/>
                <w:lang w:eastAsia="fr-FR"/>
              </w:rPr>
            </w:pPr>
            <w:r w:rsidRPr="003E16D5">
              <w:rPr>
                <w:rFonts w:ascii="Century Gothic" w:eastAsia="Times New Roman" w:hAnsi="Century Gothic" w:cs="Times New Roman"/>
                <w:color w:val="FFFFFF"/>
                <w:lang w:eastAsia="fr-FR"/>
              </w:rPr>
              <w:t>Montant taxable</w:t>
            </w:r>
          </w:p>
        </w:tc>
        <w:tc>
          <w:tcPr>
            <w:tcW w:w="1215"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180 000 €</w:t>
            </w:r>
          </w:p>
        </w:tc>
        <w:tc>
          <w:tcPr>
            <w:tcW w:w="1107"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p>
        </w:tc>
        <w:tc>
          <w:tcPr>
            <w:tcW w:w="879"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300 000 €</w:t>
            </w:r>
          </w:p>
        </w:tc>
      </w:tr>
      <w:tr w:rsidR="003E16D5" w:rsidRPr="003E16D5" w:rsidTr="00172223">
        <w:trPr>
          <w:trHeight w:val="60"/>
        </w:trPr>
        <w:tc>
          <w:tcPr>
            <w:tcW w:w="1799" w:type="pct"/>
            <w:tcBorders>
              <w:top w:val="nil"/>
              <w:left w:val="single" w:sz="8" w:space="0" w:color="auto"/>
              <w:bottom w:val="single" w:sz="4" w:space="0" w:color="auto"/>
              <w:right w:val="single" w:sz="8" w:space="0" w:color="auto"/>
            </w:tcBorders>
            <w:shd w:val="clear" w:color="000000" w:fill="002060"/>
            <w:noWrap/>
            <w:vAlign w:val="bottom"/>
            <w:hideMark/>
          </w:tcPr>
          <w:p w:rsidR="003E16D5" w:rsidRPr="003E16D5" w:rsidRDefault="003E16D5" w:rsidP="00172223">
            <w:pPr>
              <w:spacing w:after="0" w:line="240" w:lineRule="auto"/>
              <w:rPr>
                <w:rFonts w:ascii="Century Gothic" w:eastAsia="Times New Roman" w:hAnsi="Century Gothic" w:cs="Times New Roman"/>
                <w:color w:val="FFFFFF"/>
                <w:lang w:eastAsia="fr-FR"/>
              </w:rPr>
            </w:pPr>
            <w:r w:rsidRPr="003E16D5">
              <w:rPr>
                <w:rFonts w:ascii="Century Gothic" w:eastAsia="Times New Roman" w:hAnsi="Century Gothic" w:cs="Times New Roman"/>
                <w:color w:val="FFFFFF"/>
                <w:lang w:eastAsia="fr-FR"/>
              </w:rPr>
              <w:t>Abattement en faveur d'un salarié</w:t>
            </w:r>
          </w:p>
        </w:tc>
        <w:tc>
          <w:tcPr>
            <w:tcW w:w="1215"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300 000 €</w:t>
            </w:r>
          </w:p>
        </w:tc>
        <w:tc>
          <w:tcPr>
            <w:tcW w:w="1107"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p>
        </w:tc>
        <w:tc>
          <w:tcPr>
            <w:tcW w:w="879"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0 €</w:t>
            </w:r>
          </w:p>
        </w:tc>
      </w:tr>
      <w:tr w:rsidR="003E16D5" w:rsidRPr="003E16D5" w:rsidTr="00172223">
        <w:trPr>
          <w:trHeight w:val="60"/>
        </w:trPr>
        <w:tc>
          <w:tcPr>
            <w:tcW w:w="1799" w:type="pct"/>
            <w:tcBorders>
              <w:top w:val="nil"/>
              <w:left w:val="single" w:sz="8" w:space="0" w:color="auto"/>
              <w:bottom w:val="single" w:sz="4" w:space="0" w:color="auto"/>
              <w:right w:val="single" w:sz="8" w:space="0" w:color="auto"/>
            </w:tcBorders>
            <w:shd w:val="clear" w:color="000000" w:fill="002060"/>
            <w:noWrap/>
            <w:vAlign w:val="bottom"/>
            <w:hideMark/>
          </w:tcPr>
          <w:p w:rsidR="003E16D5" w:rsidRPr="003E16D5" w:rsidRDefault="003E16D5" w:rsidP="00172223">
            <w:pPr>
              <w:spacing w:after="0" w:line="240" w:lineRule="auto"/>
              <w:rPr>
                <w:rFonts w:ascii="Century Gothic" w:eastAsia="Times New Roman" w:hAnsi="Century Gothic" w:cs="Times New Roman"/>
                <w:color w:val="FFFFFF"/>
                <w:lang w:eastAsia="fr-FR"/>
              </w:rPr>
            </w:pPr>
            <w:r w:rsidRPr="003E16D5">
              <w:rPr>
                <w:rFonts w:ascii="Century Gothic" w:eastAsia="Times New Roman" w:hAnsi="Century Gothic" w:cs="Times New Roman"/>
                <w:color w:val="FFFFFF"/>
                <w:lang w:eastAsia="fr-FR"/>
              </w:rPr>
              <w:t>Montant net taxable</w:t>
            </w:r>
          </w:p>
        </w:tc>
        <w:tc>
          <w:tcPr>
            <w:tcW w:w="1215"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0 €</w:t>
            </w:r>
          </w:p>
        </w:tc>
        <w:tc>
          <w:tcPr>
            <w:tcW w:w="1107"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480 000 €</w:t>
            </w:r>
          </w:p>
        </w:tc>
        <w:tc>
          <w:tcPr>
            <w:tcW w:w="879" w:type="pct"/>
            <w:tcBorders>
              <w:top w:val="nil"/>
              <w:left w:val="nil"/>
              <w:bottom w:val="single" w:sz="4" w:space="0" w:color="auto"/>
              <w:right w:val="single" w:sz="8" w:space="0" w:color="auto"/>
            </w:tcBorders>
            <w:shd w:val="clear" w:color="auto" w:fill="auto"/>
            <w:noWrap/>
            <w:vAlign w:val="center"/>
            <w:hideMark/>
          </w:tcPr>
          <w:p w:rsidR="003E16D5" w:rsidRPr="003E16D5" w:rsidRDefault="003E16D5" w:rsidP="00172223">
            <w:pPr>
              <w:spacing w:after="0" w:line="240" w:lineRule="auto"/>
              <w:jc w:val="center"/>
              <w:rPr>
                <w:rFonts w:ascii="Century Gothic" w:eastAsia="Times New Roman" w:hAnsi="Century Gothic" w:cs="Times New Roman"/>
                <w:color w:val="000000"/>
                <w:lang w:eastAsia="fr-FR"/>
              </w:rPr>
            </w:pPr>
            <w:r w:rsidRPr="003E16D5">
              <w:rPr>
                <w:rFonts w:ascii="Century Gothic" w:eastAsia="Times New Roman" w:hAnsi="Century Gothic" w:cs="Times New Roman"/>
                <w:color w:val="000000"/>
                <w:lang w:eastAsia="fr-FR"/>
              </w:rPr>
              <w:t>300 000 €</w:t>
            </w:r>
          </w:p>
        </w:tc>
      </w:tr>
      <w:tr w:rsidR="003E16D5" w:rsidRPr="003E16D5" w:rsidTr="00172223">
        <w:trPr>
          <w:trHeight w:val="50"/>
        </w:trPr>
        <w:tc>
          <w:tcPr>
            <w:tcW w:w="1799" w:type="pct"/>
            <w:tcBorders>
              <w:top w:val="nil"/>
              <w:left w:val="single" w:sz="8" w:space="0" w:color="auto"/>
              <w:bottom w:val="single" w:sz="8" w:space="0" w:color="auto"/>
              <w:right w:val="single" w:sz="8" w:space="0" w:color="auto"/>
            </w:tcBorders>
            <w:shd w:val="clear" w:color="000000" w:fill="002060"/>
            <w:noWrap/>
            <w:vAlign w:val="bottom"/>
            <w:hideMark/>
          </w:tcPr>
          <w:p w:rsidR="003E16D5" w:rsidRPr="003E16D5" w:rsidRDefault="003E16D5" w:rsidP="00172223">
            <w:pPr>
              <w:spacing w:after="0" w:line="240" w:lineRule="auto"/>
              <w:rPr>
                <w:rFonts w:ascii="Century Gothic" w:eastAsia="Times New Roman" w:hAnsi="Century Gothic" w:cs="Times New Roman"/>
                <w:b/>
                <w:bCs/>
                <w:color w:val="FFFFFF"/>
                <w:lang w:eastAsia="fr-FR"/>
              </w:rPr>
            </w:pPr>
            <w:r w:rsidRPr="003E16D5">
              <w:rPr>
                <w:rFonts w:ascii="Century Gothic" w:eastAsia="Times New Roman" w:hAnsi="Century Gothic" w:cs="Times New Roman"/>
                <w:b/>
                <w:bCs/>
                <w:color w:val="FFFFFF"/>
                <w:lang w:eastAsia="fr-FR"/>
              </w:rPr>
              <w:t>TOTAL</w:t>
            </w:r>
          </w:p>
        </w:tc>
        <w:tc>
          <w:tcPr>
            <w:tcW w:w="2322" w:type="pct"/>
            <w:gridSpan w:val="2"/>
            <w:tcBorders>
              <w:top w:val="single" w:sz="8" w:space="0" w:color="auto"/>
              <w:left w:val="nil"/>
              <w:bottom w:val="single" w:sz="8" w:space="0" w:color="auto"/>
              <w:right w:val="single" w:sz="8" w:space="0" w:color="000000"/>
            </w:tcBorders>
            <w:shd w:val="clear" w:color="auto" w:fill="auto"/>
            <w:noWrap/>
            <w:vAlign w:val="bottom"/>
            <w:hideMark/>
          </w:tcPr>
          <w:p w:rsidR="003E16D5" w:rsidRPr="003E16D5" w:rsidRDefault="003E16D5" w:rsidP="00172223">
            <w:pPr>
              <w:spacing w:after="0" w:line="240" w:lineRule="auto"/>
              <w:jc w:val="center"/>
              <w:rPr>
                <w:rFonts w:ascii="Century Gothic" w:eastAsia="Times New Roman" w:hAnsi="Century Gothic" w:cs="Times New Roman"/>
                <w:b/>
                <w:bCs/>
                <w:color w:val="000000"/>
                <w:lang w:eastAsia="fr-FR"/>
              </w:rPr>
            </w:pPr>
            <w:r w:rsidRPr="003E16D5">
              <w:rPr>
                <w:rFonts w:ascii="Century Gothic" w:eastAsia="Times New Roman" w:hAnsi="Century Gothic" w:cs="Times New Roman"/>
                <w:b/>
                <w:bCs/>
                <w:color w:val="000000"/>
                <w:lang w:eastAsia="fr-FR"/>
              </w:rPr>
              <w:t>480 000 €</w:t>
            </w:r>
          </w:p>
        </w:tc>
        <w:tc>
          <w:tcPr>
            <w:tcW w:w="879" w:type="pct"/>
            <w:tcBorders>
              <w:top w:val="nil"/>
              <w:left w:val="nil"/>
              <w:bottom w:val="single" w:sz="8" w:space="0" w:color="auto"/>
              <w:right w:val="single" w:sz="8" w:space="0" w:color="auto"/>
            </w:tcBorders>
            <w:shd w:val="clear" w:color="auto" w:fill="auto"/>
            <w:noWrap/>
            <w:vAlign w:val="bottom"/>
            <w:hideMark/>
          </w:tcPr>
          <w:p w:rsidR="003E16D5" w:rsidRPr="003E16D5" w:rsidRDefault="003E16D5" w:rsidP="00172223">
            <w:pPr>
              <w:spacing w:after="0" w:line="240" w:lineRule="auto"/>
              <w:jc w:val="center"/>
              <w:rPr>
                <w:rFonts w:ascii="Century Gothic" w:eastAsia="Times New Roman" w:hAnsi="Century Gothic" w:cs="Times New Roman"/>
                <w:b/>
                <w:bCs/>
                <w:color w:val="000000"/>
                <w:lang w:eastAsia="fr-FR"/>
              </w:rPr>
            </w:pPr>
            <w:r w:rsidRPr="003E16D5">
              <w:rPr>
                <w:rFonts w:ascii="Century Gothic" w:eastAsia="Times New Roman" w:hAnsi="Century Gothic" w:cs="Times New Roman"/>
                <w:b/>
                <w:bCs/>
                <w:color w:val="000000"/>
                <w:lang w:eastAsia="fr-FR"/>
              </w:rPr>
              <w:t>300 000 €</w:t>
            </w:r>
          </w:p>
        </w:tc>
      </w:tr>
    </w:tbl>
    <w:p w:rsidR="003E16D5" w:rsidRPr="003E16D5" w:rsidRDefault="003E16D5" w:rsidP="003E16D5">
      <w:pPr>
        <w:spacing w:after="0"/>
        <w:jc w:val="both"/>
        <w:rPr>
          <w:rFonts w:ascii="Century Gothic" w:hAnsi="Century Gothic"/>
        </w:rPr>
      </w:pPr>
    </w:p>
    <w:p w:rsidR="000B1FA3" w:rsidRDefault="000B1FA3"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r w:rsidRPr="003E16D5">
        <w:rPr>
          <w:rFonts w:ascii="Century Gothic" w:hAnsi="Century Gothic"/>
        </w:rPr>
        <w:t xml:space="preserve">Dans notre cas, l’application de l’abattement </w:t>
      </w:r>
      <w:r w:rsidR="002D7CD0">
        <w:rPr>
          <w:rFonts w:ascii="Century Gothic" w:hAnsi="Century Gothic"/>
        </w:rPr>
        <w:t>en</w:t>
      </w:r>
      <w:r w:rsidRPr="003E16D5">
        <w:rPr>
          <w:rFonts w:ascii="Century Gothic" w:hAnsi="Century Gothic"/>
        </w:rPr>
        <w:t xml:space="preserve"> faveur des salariés est moins intéressante qu’un Dutreil classique sur le montant de la transmission. En application de l'article 397 A de l'annexe III au CGI, le paiement des droits de mutation peut être différé puis fractionné pour des mutations portant sur les parts sociales ou les actions d'une société ayant une activité industrielle, commerciale, artisanale, agricole ou libérale, non cotée en bourse, à condition que le bénéficiaire reçoive au moins 5 % du capital social. Le paiement des droits peut être différé pendant 5 ans à compter de la date d'exigibilité des droits, puis fractionné sur une période de 10 ans. Le taux d’intérêt légal étant actuellement bas, </w:t>
      </w:r>
      <w:r w:rsidR="009107D3">
        <w:rPr>
          <w:rFonts w:ascii="Century Gothic" w:hAnsi="Century Gothic"/>
        </w:rPr>
        <w:t>Claude</w:t>
      </w:r>
      <w:r w:rsidRPr="003E16D5">
        <w:rPr>
          <w:rFonts w:ascii="Century Gothic" w:hAnsi="Century Gothic"/>
        </w:rPr>
        <w:t xml:space="preserve"> aura tout intérêt à en faire la demande auprès de l’administration fiscale.</w:t>
      </w:r>
      <w:r w:rsidRPr="003E16D5">
        <w:rPr>
          <w:rFonts w:ascii="Century Gothic" w:hAnsi="Century Gothic"/>
          <w:b/>
          <w:color w:val="FF0000"/>
        </w:rPr>
        <w:t xml:space="preserve"> </w:t>
      </w:r>
    </w:p>
    <w:p w:rsidR="003E16D5" w:rsidRPr="003E16D5" w:rsidRDefault="003E16D5"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b/>
        </w:rPr>
      </w:pPr>
      <w:r w:rsidRPr="003E16D5">
        <w:rPr>
          <w:rFonts w:ascii="Century Gothic" w:hAnsi="Century Gothic"/>
          <w:b/>
        </w:rPr>
        <w:t>De l’attribution de la soulte à son paiement</w:t>
      </w:r>
    </w:p>
    <w:p w:rsidR="003E16D5" w:rsidRPr="003E16D5" w:rsidRDefault="003E16D5"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r w:rsidRPr="003E16D5">
        <w:rPr>
          <w:rFonts w:ascii="Century Gothic" w:hAnsi="Century Gothic"/>
        </w:rPr>
        <w:t xml:space="preserve">Dans l’acte de donation-partage, les lots concernent des titres de la société soumis à engagement Dutreil. </w:t>
      </w:r>
      <w:r w:rsidR="00005835">
        <w:rPr>
          <w:rFonts w:ascii="Century Gothic" w:hAnsi="Century Gothic"/>
        </w:rPr>
        <w:t xml:space="preserve">Suite à l’attribution gratuite, Monsieur </w:t>
      </w:r>
      <w:r w:rsidR="009107D3">
        <w:rPr>
          <w:rFonts w:ascii="Century Gothic" w:hAnsi="Century Gothic"/>
        </w:rPr>
        <w:t xml:space="preserve">DUPONT </w:t>
      </w:r>
      <w:r w:rsidR="00005835">
        <w:rPr>
          <w:rFonts w:ascii="Century Gothic" w:hAnsi="Century Gothic"/>
        </w:rPr>
        <w:t>détient 98% des titres de la société, soit une valeur de 1 176</w:t>
      </w:r>
      <w:r w:rsidR="003D0691">
        <w:rPr>
          <w:rFonts w:ascii="Century Gothic" w:hAnsi="Century Gothic"/>
        </w:rPr>
        <w:t> </w:t>
      </w:r>
      <w:r w:rsidR="00005835">
        <w:rPr>
          <w:rFonts w:ascii="Century Gothic" w:hAnsi="Century Gothic"/>
        </w:rPr>
        <w:t>000</w:t>
      </w:r>
      <w:r w:rsidR="003D0691">
        <w:rPr>
          <w:rFonts w:ascii="Century Gothic" w:hAnsi="Century Gothic"/>
        </w:rPr>
        <w:t xml:space="preserve"> €</w:t>
      </w:r>
      <w:r w:rsidR="00005835">
        <w:rPr>
          <w:rFonts w:ascii="Century Gothic" w:hAnsi="Century Gothic"/>
        </w:rPr>
        <w:t xml:space="preserve">. </w:t>
      </w:r>
      <w:r w:rsidRPr="003E16D5">
        <w:rPr>
          <w:rFonts w:ascii="Century Gothic" w:hAnsi="Century Gothic"/>
        </w:rPr>
        <w:t xml:space="preserve">Les enfants auront droit à 90% des titres de la société soit </w:t>
      </w:r>
      <w:r w:rsidR="0012559C">
        <w:rPr>
          <w:rFonts w:ascii="Century Gothic" w:hAnsi="Century Gothic"/>
        </w:rPr>
        <w:t>1 058 400</w:t>
      </w:r>
      <w:r w:rsidRPr="003E16D5">
        <w:rPr>
          <w:rFonts w:ascii="Century Gothic" w:hAnsi="Century Gothic"/>
        </w:rPr>
        <w:t xml:space="preserve"> €, et </w:t>
      </w:r>
      <w:r w:rsidR="009107D3">
        <w:rPr>
          <w:rFonts w:ascii="Century Gothic" w:hAnsi="Century Gothic"/>
        </w:rPr>
        <w:t xml:space="preserve">Claude </w:t>
      </w:r>
      <w:r w:rsidRPr="003E16D5">
        <w:rPr>
          <w:rFonts w:ascii="Century Gothic" w:hAnsi="Century Gothic"/>
        </w:rPr>
        <w:t xml:space="preserve">à 10% soit </w:t>
      </w:r>
      <w:r w:rsidR="0012559C">
        <w:rPr>
          <w:rFonts w:ascii="Century Gothic" w:hAnsi="Century Gothic"/>
        </w:rPr>
        <w:t>117 600</w:t>
      </w:r>
      <w:r w:rsidRPr="003E16D5">
        <w:rPr>
          <w:rFonts w:ascii="Century Gothic" w:hAnsi="Century Gothic"/>
        </w:rPr>
        <w:t xml:space="preserve"> €. Aux termes du partage, il sera attribué à </w:t>
      </w:r>
      <w:r w:rsidR="007511E7">
        <w:rPr>
          <w:rFonts w:ascii="Century Gothic" w:hAnsi="Century Gothic"/>
        </w:rPr>
        <w:t>Claude</w:t>
      </w:r>
      <w:r w:rsidRPr="003E16D5">
        <w:rPr>
          <w:rFonts w:ascii="Century Gothic" w:hAnsi="Century Gothic"/>
        </w:rPr>
        <w:t xml:space="preserve"> la totalité des actions, soit </w:t>
      </w:r>
      <w:r w:rsidR="0012559C">
        <w:rPr>
          <w:rFonts w:ascii="Century Gothic" w:hAnsi="Century Gothic"/>
        </w:rPr>
        <w:t>1 176 000</w:t>
      </w:r>
      <w:r w:rsidRPr="003E16D5">
        <w:rPr>
          <w:rFonts w:ascii="Century Gothic" w:hAnsi="Century Gothic"/>
        </w:rPr>
        <w:t xml:space="preserve"> €, charge à lui de verser une soulte de </w:t>
      </w:r>
      <w:r w:rsidR="0012559C">
        <w:rPr>
          <w:rFonts w:ascii="Century Gothic" w:hAnsi="Century Gothic"/>
        </w:rPr>
        <w:t>1 176 000</w:t>
      </w:r>
      <w:r w:rsidRPr="003E16D5">
        <w:rPr>
          <w:rFonts w:ascii="Century Gothic" w:hAnsi="Century Gothic"/>
        </w:rPr>
        <w:t xml:space="preserve"> € aux enfants. Ainsi, la transmission nette réalisée au profit de </w:t>
      </w:r>
      <w:r w:rsidR="009107D3">
        <w:rPr>
          <w:rFonts w:ascii="Century Gothic" w:hAnsi="Century Gothic"/>
        </w:rPr>
        <w:t>Claude</w:t>
      </w:r>
      <w:r w:rsidRPr="003E16D5">
        <w:rPr>
          <w:rFonts w:ascii="Century Gothic" w:hAnsi="Century Gothic"/>
        </w:rPr>
        <w:t xml:space="preserve"> s’élève bien à </w:t>
      </w:r>
      <w:r w:rsidR="005B5F7B">
        <w:rPr>
          <w:rFonts w:ascii="Century Gothic" w:hAnsi="Century Gothic"/>
        </w:rPr>
        <w:t>117 600</w:t>
      </w:r>
      <w:r w:rsidRPr="003E16D5">
        <w:rPr>
          <w:rFonts w:ascii="Century Gothic" w:hAnsi="Century Gothic"/>
        </w:rPr>
        <w:t xml:space="preserve"> € en prenant en compte le passif. Les enfants bénéficient d’une exonération de 75% et d’une réduction de 50% sur le montant de la somme d’argent dont ils sont gratifiés alors même qu’ils n’assurent pas la poursuite de la direction de l’entreprise</w:t>
      </w:r>
      <w:r w:rsidR="009E4238">
        <w:rPr>
          <w:rFonts w:ascii="Century Gothic" w:hAnsi="Century Gothic"/>
        </w:rPr>
        <w:t>.</w:t>
      </w:r>
    </w:p>
    <w:p w:rsidR="003E16D5" w:rsidRPr="003E16D5" w:rsidRDefault="003E16D5" w:rsidP="003E16D5">
      <w:pPr>
        <w:spacing w:after="0"/>
        <w:jc w:val="both"/>
        <w:rPr>
          <w:rFonts w:ascii="Century Gothic" w:hAnsi="Century Gothic"/>
        </w:rPr>
      </w:pPr>
    </w:p>
    <w:p w:rsidR="003E16D5" w:rsidRDefault="003E16D5" w:rsidP="003E16D5">
      <w:pPr>
        <w:spacing w:after="0"/>
        <w:jc w:val="both"/>
        <w:rPr>
          <w:rFonts w:ascii="Century Gothic" w:hAnsi="Century Gothic"/>
        </w:rPr>
      </w:pPr>
    </w:p>
    <w:tbl>
      <w:tblPr>
        <w:tblW w:w="8420" w:type="dxa"/>
        <w:tblCellMar>
          <w:left w:w="70" w:type="dxa"/>
          <w:right w:w="70" w:type="dxa"/>
        </w:tblCellMar>
        <w:tblLook w:val="04A0" w:firstRow="1" w:lastRow="0" w:firstColumn="1" w:lastColumn="0" w:noHBand="0" w:noVBand="1"/>
      </w:tblPr>
      <w:tblGrid>
        <w:gridCol w:w="3200"/>
        <w:gridCol w:w="2622"/>
        <w:gridCol w:w="2598"/>
      </w:tblGrid>
      <w:tr w:rsidR="0012559C" w:rsidRPr="0012559C" w:rsidTr="00301FFB">
        <w:trPr>
          <w:trHeight w:val="315"/>
        </w:trPr>
        <w:tc>
          <w:tcPr>
            <w:tcW w:w="3200" w:type="dxa"/>
            <w:tcBorders>
              <w:top w:val="nil"/>
              <w:left w:val="nil"/>
              <w:bottom w:val="nil"/>
              <w:right w:val="nil"/>
            </w:tcBorders>
            <w:shd w:val="clear" w:color="auto" w:fill="auto"/>
            <w:noWrap/>
            <w:vAlign w:val="bottom"/>
            <w:hideMark/>
          </w:tcPr>
          <w:p w:rsidR="0012559C" w:rsidRPr="0012559C" w:rsidRDefault="0012559C" w:rsidP="0012559C">
            <w:pPr>
              <w:spacing w:after="0" w:line="240" w:lineRule="auto"/>
              <w:rPr>
                <w:rFonts w:ascii="Times New Roman" w:eastAsia="Times New Roman" w:hAnsi="Times New Roman" w:cs="Times New Roman"/>
                <w:sz w:val="24"/>
                <w:szCs w:val="24"/>
                <w:lang w:eastAsia="fr-FR"/>
              </w:rPr>
            </w:pPr>
          </w:p>
        </w:tc>
        <w:tc>
          <w:tcPr>
            <w:tcW w:w="522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12559C" w:rsidRPr="0012559C" w:rsidRDefault="0012559C" w:rsidP="00301FFB">
            <w:pPr>
              <w:spacing w:after="0" w:line="240" w:lineRule="auto"/>
              <w:jc w:val="center"/>
              <w:rPr>
                <w:rFonts w:ascii="Century Gothic" w:eastAsia="Times New Roman" w:hAnsi="Century Gothic" w:cs="Times New Roman"/>
                <w:b/>
                <w:bCs/>
                <w:color w:val="FFFFFF"/>
                <w:sz w:val="20"/>
                <w:szCs w:val="20"/>
                <w:lang w:eastAsia="fr-FR"/>
              </w:rPr>
            </w:pPr>
            <w:r w:rsidRPr="0012559C">
              <w:rPr>
                <w:rFonts w:ascii="Century Gothic" w:eastAsia="Times New Roman" w:hAnsi="Century Gothic" w:cs="Times New Roman"/>
                <w:b/>
                <w:bCs/>
                <w:color w:val="FFFFFF"/>
                <w:sz w:val="20"/>
                <w:szCs w:val="20"/>
                <w:lang w:eastAsia="fr-FR"/>
              </w:rPr>
              <w:t>Donation-partage des titres de la société</w:t>
            </w:r>
          </w:p>
        </w:tc>
      </w:tr>
      <w:tr w:rsidR="0012559C" w:rsidRPr="0012559C" w:rsidTr="00301FFB">
        <w:trPr>
          <w:trHeight w:val="315"/>
        </w:trPr>
        <w:tc>
          <w:tcPr>
            <w:tcW w:w="3200" w:type="dxa"/>
            <w:tcBorders>
              <w:top w:val="nil"/>
              <w:left w:val="nil"/>
              <w:bottom w:val="nil"/>
              <w:right w:val="nil"/>
            </w:tcBorders>
            <w:shd w:val="clear" w:color="auto" w:fill="auto"/>
            <w:noWrap/>
            <w:vAlign w:val="bottom"/>
            <w:hideMark/>
          </w:tcPr>
          <w:p w:rsidR="0012559C" w:rsidRPr="0012559C" w:rsidRDefault="0012559C" w:rsidP="0012559C">
            <w:pPr>
              <w:spacing w:after="0" w:line="240" w:lineRule="auto"/>
              <w:jc w:val="center"/>
              <w:rPr>
                <w:rFonts w:ascii="Century Gothic" w:eastAsia="Times New Roman" w:hAnsi="Century Gothic" w:cs="Times New Roman"/>
                <w:b/>
                <w:bCs/>
                <w:color w:val="FFFFFF"/>
                <w:sz w:val="20"/>
                <w:szCs w:val="20"/>
                <w:lang w:eastAsia="fr-FR"/>
              </w:rPr>
            </w:pPr>
          </w:p>
        </w:tc>
        <w:tc>
          <w:tcPr>
            <w:tcW w:w="2622" w:type="dxa"/>
            <w:tcBorders>
              <w:top w:val="nil"/>
              <w:left w:val="single" w:sz="8" w:space="0" w:color="auto"/>
              <w:bottom w:val="nil"/>
              <w:right w:val="single" w:sz="8" w:space="0" w:color="auto"/>
            </w:tcBorders>
            <w:shd w:val="clear" w:color="000000" w:fill="002060"/>
            <w:noWrap/>
            <w:vAlign w:val="center"/>
            <w:hideMark/>
          </w:tcPr>
          <w:p w:rsidR="0012559C" w:rsidRPr="0012559C" w:rsidRDefault="0012559C" w:rsidP="00301FFB">
            <w:pPr>
              <w:spacing w:after="0" w:line="240" w:lineRule="auto"/>
              <w:jc w:val="center"/>
              <w:rPr>
                <w:rFonts w:ascii="Century Gothic" w:eastAsia="Times New Roman" w:hAnsi="Century Gothic" w:cs="Times New Roman"/>
                <w:i/>
                <w:iCs/>
                <w:color w:val="FFFFFF"/>
                <w:sz w:val="18"/>
                <w:szCs w:val="18"/>
                <w:lang w:eastAsia="fr-FR"/>
              </w:rPr>
            </w:pPr>
            <w:r w:rsidRPr="0012559C">
              <w:rPr>
                <w:rFonts w:ascii="Century Gothic" w:eastAsia="Times New Roman" w:hAnsi="Century Gothic" w:cs="Times New Roman"/>
                <w:i/>
                <w:iCs/>
                <w:color w:val="FFFFFF"/>
                <w:sz w:val="18"/>
                <w:szCs w:val="18"/>
                <w:lang w:eastAsia="fr-FR"/>
              </w:rPr>
              <w:t>Enfants</w:t>
            </w:r>
          </w:p>
        </w:tc>
        <w:tc>
          <w:tcPr>
            <w:tcW w:w="2598" w:type="dxa"/>
            <w:tcBorders>
              <w:top w:val="nil"/>
              <w:left w:val="nil"/>
              <w:bottom w:val="nil"/>
              <w:right w:val="single" w:sz="8" w:space="0" w:color="auto"/>
            </w:tcBorders>
            <w:shd w:val="clear" w:color="000000" w:fill="002060"/>
            <w:noWrap/>
            <w:vAlign w:val="center"/>
            <w:hideMark/>
          </w:tcPr>
          <w:p w:rsidR="0012559C" w:rsidRPr="0012559C" w:rsidRDefault="009107D3" w:rsidP="00301FFB">
            <w:pPr>
              <w:spacing w:after="0" w:line="240" w:lineRule="auto"/>
              <w:jc w:val="center"/>
              <w:rPr>
                <w:rFonts w:ascii="Century Gothic" w:eastAsia="Times New Roman" w:hAnsi="Century Gothic" w:cs="Times New Roman"/>
                <w:i/>
                <w:iCs/>
                <w:color w:val="FFFFFF"/>
                <w:sz w:val="18"/>
                <w:szCs w:val="18"/>
                <w:lang w:eastAsia="fr-FR"/>
              </w:rPr>
            </w:pPr>
            <w:r>
              <w:rPr>
                <w:rFonts w:ascii="Century Gothic" w:eastAsia="Times New Roman" w:hAnsi="Century Gothic" w:cs="Times New Roman"/>
                <w:i/>
                <w:iCs/>
                <w:color w:val="FFFFFF"/>
                <w:sz w:val="18"/>
                <w:szCs w:val="18"/>
                <w:lang w:eastAsia="fr-FR"/>
              </w:rPr>
              <w:t>Claude</w:t>
            </w:r>
          </w:p>
        </w:tc>
      </w:tr>
      <w:tr w:rsidR="0012559C" w:rsidRPr="0012559C" w:rsidTr="00301FFB">
        <w:trPr>
          <w:trHeight w:val="315"/>
        </w:trPr>
        <w:tc>
          <w:tcPr>
            <w:tcW w:w="3200" w:type="dxa"/>
            <w:tcBorders>
              <w:top w:val="single" w:sz="8" w:space="0" w:color="auto"/>
              <w:left w:val="single" w:sz="8" w:space="0" w:color="auto"/>
              <w:bottom w:val="single" w:sz="4"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color w:val="FFFFFF"/>
                <w:sz w:val="18"/>
                <w:szCs w:val="18"/>
                <w:lang w:eastAsia="fr-FR"/>
              </w:rPr>
            </w:pPr>
            <w:r w:rsidRPr="0012559C">
              <w:rPr>
                <w:rFonts w:ascii="Century Gothic" w:eastAsia="Times New Roman" w:hAnsi="Century Gothic" w:cs="Times New Roman"/>
                <w:color w:val="FFFFFF"/>
                <w:sz w:val="18"/>
                <w:szCs w:val="18"/>
                <w:lang w:eastAsia="fr-FR"/>
              </w:rPr>
              <w:t>Montant du lot</w:t>
            </w:r>
          </w:p>
        </w:tc>
        <w:tc>
          <w:tcPr>
            <w:tcW w:w="2622" w:type="dxa"/>
            <w:tcBorders>
              <w:top w:val="single" w:sz="8" w:space="0" w:color="auto"/>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1 058 400 €</w:t>
            </w:r>
          </w:p>
        </w:tc>
        <w:tc>
          <w:tcPr>
            <w:tcW w:w="2598" w:type="dxa"/>
            <w:tcBorders>
              <w:top w:val="single" w:sz="8" w:space="0" w:color="auto"/>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117 600 €</w:t>
            </w:r>
          </w:p>
        </w:tc>
      </w:tr>
      <w:tr w:rsidR="0012559C" w:rsidRPr="0012559C" w:rsidTr="00301FFB">
        <w:trPr>
          <w:trHeight w:val="315"/>
        </w:trPr>
        <w:tc>
          <w:tcPr>
            <w:tcW w:w="3200" w:type="dxa"/>
            <w:tcBorders>
              <w:top w:val="nil"/>
              <w:left w:val="single" w:sz="8" w:space="0" w:color="auto"/>
              <w:bottom w:val="single" w:sz="4"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color w:val="FFFFFF"/>
                <w:sz w:val="18"/>
                <w:szCs w:val="18"/>
                <w:lang w:eastAsia="fr-FR"/>
              </w:rPr>
            </w:pPr>
            <w:r w:rsidRPr="0012559C">
              <w:rPr>
                <w:rFonts w:ascii="Century Gothic" w:eastAsia="Times New Roman" w:hAnsi="Century Gothic" w:cs="Times New Roman"/>
                <w:color w:val="FFFFFF"/>
                <w:sz w:val="18"/>
                <w:szCs w:val="18"/>
                <w:lang w:eastAsia="fr-FR"/>
              </w:rPr>
              <w:t>Abattement Dutreil</w:t>
            </w:r>
            <w:r w:rsidR="00111D00">
              <w:rPr>
                <w:rFonts w:ascii="Century Gothic" w:eastAsia="Times New Roman" w:hAnsi="Century Gothic" w:cs="Times New Roman"/>
                <w:color w:val="FFFFFF"/>
                <w:sz w:val="18"/>
                <w:szCs w:val="18"/>
                <w:lang w:eastAsia="fr-FR"/>
              </w:rPr>
              <w:t xml:space="preserve"> (75%)</w:t>
            </w:r>
          </w:p>
        </w:tc>
        <w:tc>
          <w:tcPr>
            <w:tcW w:w="2622"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793 800 €</w:t>
            </w:r>
          </w:p>
        </w:tc>
        <w:tc>
          <w:tcPr>
            <w:tcW w:w="2598"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88 200 €</w:t>
            </w:r>
          </w:p>
        </w:tc>
      </w:tr>
      <w:tr w:rsidR="0012559C" w:rsidRPr="0012559C" w:rsidTr="00301FFB">
        <w:trPr>
          <w:trHeight w:val="315"/>
        </w:trPr>
        <w:tc>
          <w:tcPr>
            <w:tcW w:w="3200" w:type="dxa"/>
            <w:tcBorders>
              <w:top w:val="nil"/>
              <w:left w:val="single" w:sz="8" w:space="0" w:color="auto"/>
              <w:bottom w:val="single" w:sz="4"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color w:val="FFFFFF"/>
                <w:sz w:val="18"/>
                <w:szCs w:val="18"/>
                <w:lang w:eastAsia="fr-FR"/>
              </w:rPr>
            </w:pPr>
            <w:r w:rsidRPr="0012559C">
              <w:rPr>
                <w:rFonts w:ascii="Century Gothic" w:eastAsia="Times New Roman" w:hAnsi="Century Gothic" w:cs="Times New Roman"/>
                <w:color w:val="FFFFFF"/>
                <w:sz w:val="18"/>
                <w:szCs w:val="18"/>
                <w:lang w:eastAsia="fr-FR"/>
              </w:rPr>
              <w:t>Abattement ligne directe</w:t>
            </w:r>
          </w:p>
        </w:tc>
        <w:tc>
          <w:tcPr>
            <w:tcW w:w="2622"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200 000 €</w:t>
            </w:r>
          </w:p>
        </w:tc>
        <w:tc>
          <w:tcPr>
            <w:tcW w:w="2598"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0 €</w:t>
            </w:r>
          </w:p>
        </w:tc>
      </w:tr>
      <w:tr w:rsidR="0012559C" w:rsidRPr="0012559C" w:rsidTr="00301FFB">
        <w:trPr>
          <w:trHeight w:val="315"/>
        </w:trPr>
        <w:tc>
          <w:tcPr>
            <w:tcW w:w="3200" w:type="dxa"/>
            <w:tcBorders>
              <w:top w:val="nil"/>
              <w:left w:val="single" w:sz="8" w:space="0" w:color="auto"/>
              <w:bottom w:val="single" w:sz="4"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color w:val="FFFFFF"/>
                <w:sz w:val="18"/>
                <w:szCs w:val="18"/>
                <w:lang w:eastAsia="fr-FR"/>
              </w:rPr>
            </w:pPr>
            <w:r w:rsidRPr="0012559C">
              <w:rPr>
                <w:rFonts w:ascii="Century Gothic" w:eastAsia="Times New Roman" w:hAnsi="Century Gothic" w:cs="Times New Roman"/>
                <w:color w:val="FFFFFF"/>
                <w:sz w:val="18"/>
                <w:szCs w:val="18"/>
                <w:lang w:eastAsia="fr-FR"/>
              </w:rPr>
              <w:t>Montant net taxable</w:t>
            </w:r>
          </w:p>
        </w:tc>
        <w:tc>
          <w:tcPr>
            <w:tcW w:w="2622"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64 600 €</w:t>
            </w:r>
          </w:p>
        </w:tc>
        <w:tc>
          <w:tcPr>
            <w:tcW w:w="2598"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29 400 €</w:t>
            </w:r>
          </w:p>
        </w:tc>
      </w:tr>
      <w:tr w:rsidR="0012559C" w:rsidRPr="0012559C" w:rsidTr="00301FFB">
        <w:trPr>
          <w:trHeight w:val="315"/>
        </w:trPr>
        <w:tc>
          <w:tcPr>
            <w:tcW w:w="3200" w:type="dxa"/>
            <w:tcBorders>
              <w:top w:val="nil"/>
              <w:left w:val="single" w:sz="8" w:space="0" w:color="auto"/>
              <w:bottom w:val="single" w:sz="4"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color w:val="FFFFFF"/>
                <w:sz w:val="18"/>
                <w:szCs w:val="18"/>
                <w:lang w:eastAsia="fr-FR"/>
              </w:rPr>
            </w:pPr>
            <w:r w:rsidRPr="0012559C">
              <w:rPr>
                <w:rFonts w:ascii="Century Gothic" w:eastAsia="Times New Roman" w:hAnsi="Century Gothic" w:cs="Times New Roman"/>
                <w:color w:val="FFFFFF"/>
                <w:sz w:val="18"/>
                <w:szCs w:val="18"/>
                <w:lang w:eastAsia="fr-FR"/>
              </w:rPr>
              <w:t>Droits à payer avant réduction</w:t>
            </w:r>
          </w:p>
        </w:tc>
        <w:tc>
          <w:tcPr>
            <w:tcW w:w="2622"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10 388 €</w:t>
            </w:r>
          </w:p>
        </w:tc>
        <w:tc>
          <w:tcPr>
            <w:tcW w:w="2598"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17 640 €</w:t>
            </w:r>
          </w:p>
        </w:tc>
      </w:tr>
      <w:tr w:rsidR="0012559C" w:rsidRPr="0012559C" w:rsidTr="00301FFB">
        <w:trPr>
          <w:trHeight w:val="315"/>
        </w:trPr>
        <w:tc>
          <w:tcPr>
            <w:tcW w:w="3200" w:type="dxa"/>
            <w:tcBorders>
              <w:top w:val="nil"/>
              <w:left w:val="single" w:sz="8" w:space="0" w:color="auto"/>
              <w:bottom w:val="single" w:sz="4"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color w:val="FFFFFF"/>
                <w:sz w:val="18"/>
                <w:szCs w:val="18"/>
                <w:lang w:eastAsia="fr-FR"/>
              </w:rPr>
            </w:pPr>
            <w:r w:rsidRPr="0012559C">
              <w:rPr>
                <w:rFonts w:ascii="Century Gothic" w:eastAsia="Times New Roman" w:hAnsi="Century Gothic" w:cs="Times New Roman"/>
                <w:color w:val="FFFFFF"/>
                <w:sz w:val="18"/>
                <w:szCs w:val="18"/>
                <w:lang w:eastAsia="fr-FR"/>
              </w:rPr>
              <w:lastRenderedPageBreak/>
              <w:t>Réduction des droits de 50%</w:t>
            </w:r>
          </w:p>
        </w:tc>
        <w:tc>
          <w:tcPr>
            <w:tcW w:w="2622"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5 194 €</w:t>
            </w:r>
          </w:p>
        </w:tc>
        <w:tc>
          <w:tcPr>
            <w:tcW w:w="2598" w:type="dxa"/>
            <w:tcBorders>
              <w:top w:val="nil"/>
              <w:left w:val="nil"/>
              <w:bottom w:val="single" w:sz="4"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color w:val="000000"/>
                <w:sz w:val="18"/>
                <w:szCs w:val="18"/>
                <w:lang w:eastAsia="fr-FR"/>
              </w:rPr>
            </w:pPr>
            <w:r w:rsidRPr="0012559C">
              <w:rPr>
                <w:rFonts w:ascii="Century Gothic" w:eastAsia="Times New Roman" w:hAnsi="Century Gothic" w:cs="Times New Roman"/>
                <w:color w:val="000000"/>
                <w:sz w:val="18"/>
                <w:szCs w:val="18"/>
                <w:lang w:eastAsia="fr-FR"/>
              </w:rPr>
              <w:t>8 820 €</w:t>
            </w:r>
          </w:p>
        </w:tc>
      </w:tr>
      <w:tr w:rsidR="0012559C" w:rsidRPr="0012559C" w:rsidTr="00301FFB">
        <w:trPr>
          <w:trHeight w:val="330"/>
        </w:trPr>
        <w:tc>
          <w:tcPr>
            <w:tcW w:w="3200" w:type="dxa"/>
            <w:tcBorders>
              <w:top w:val="nil"/>
              <w:left w:val="single" w:sz="8" w:space="0" w:color="auto"/>
              <w:bottom w:val="single" w:sz="8" w:space="0" w:color="auto"/>
              <w:right w:val="single" w:sz="8" w:space="0" w:color="auto"/>
            </w:tcBorders>
            <w:shd w:val="clear" w:color="000000" w:fill="002060"/>
            <w:noWrap/>
            <w:vAlign w:val="center"/>
            <w:hideMark/>
          </w:tcPr>
          <w:p w:rsidR="0012559C" w:rsidRPr="0012559C" w:rsidRDefault="0012559C" w:rsidP="00301FFB">
            <w:pPr>
              <w:spacing w:after="0" w:line="240" w:lineRule="auto"/>
              <w:rPr>
                <w:rFonts w:ascii="Century Gothic" w:eastAsia="Times New Roman" w:hAnsi="Century Gothic" w:cs="Times New Roman"/>
                <w:b/>
                <w:bCs/>
                <w:color w:val="FFFFFF"/>
                <w:sz w:val="18"/>
                <w:szCs w:val="18"/>
                <w:lang w:eastAsia="fr-FR"/>
              </w:rPr>
            </w:pPr>
            <w:r w:rsidRPr="0012559C">
              <w:rPr>
                <w:rFonts w:ascii="Century Gothic" w:eastAsia="Times New Roman" w:hAnsi="Century Gothic" w:cs="Times New Roman"/>
                <w:b/>
                <w:bCs/>
                <w:color w:val="FFFFFF"/>
                <w:sz w:val="18"/>
                <w:szCs w:val="18"/>
                <w:lang w:eastAsia="fr-FR"/>
              </w:rPr>
              <w:t>Droits à payer</w:t>
            </w:r>
          </w:p>
        </w:tc>
        <w:tc>
          <w:tcPr>
            <w:tcW w:w="2622" w:type="dxa"/>
            <w:tcBorders>
              <w:top w:val="nil"/>
              <w:left w:val="nil"/>
              <w:bottom w:val="single" w:sz="8"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b/>
                <w:bCs/>
                <w:color w:val="000000"/>
                <w:sz w:val="18"/>
                <w:szCs w:val="18"/>
                <w:lang w:eastAsia="fr-FR"/>
              </w:rPr>
            </w:pPr>
            <w:r w:rsidRPr="0012559C">
              <w:rPr>
                <w:rFonts w:ascii="Century Gothic" w:eastAsia="Times New Roman" w:hAnsi="Century Gothic" w:cs="Times New Roman"/>
                <w:b/>
                <w:bCs/>
                <w:color w:val="000000"/>
                <w:sz w:val="18"/>
                <w:szCs w:val="18"/>
                <w:lang w:eastAsia="fr-FR"/>
              </w:rPr>
              <w:t>5 194 €</w:t>
            </w:r>
          </w:p>
        </w:tc>
        <w:tc>
          <w:tcPr>
            <w:tcW w:w="2598" w:type="dxa"/>
            <w:tcBorders>
              <w:top w:val="nil"/>
              <w:left w:val="nil"/>
              <w:bottom w:val="single" w:sz="8" w:space="0" w:color="auto"/>
              <w:right w:val="single" w:sz="8" w:space="0" w:color="auto"/>
            </w:tcBorders>
            <w:shd w:val="clear" w:color="auto" w:fill="auto"/>
            <w:noWrap/>
            <w:vAlign w:val="center"/>
            <w:hideMark/>
          </w:tcPr>
          <w:p w:rsidR="0012559C" w:rsidRPr="0012559C" w:rsidRDefault="0012559C" w:rsidP="00301FFB">
            <w:pPr>
              <w:spacing w:after="0" w:line="240" w:lineRule="auto"/>
              <w:jc w:val="center"/>
              <w:rPr>
                <w:rFonts w:ascii="Century Gothic" w:eastAsia="Times New Roman" w:hAnsi="Century Gothic" w:cs="Times New Roman"/>
                <w:b/>
                <w:bCs/>
                <w:color w:val="000000"/>
                <w:sz w:val="18"/>
                <w:szCs w:val="18"/>
                <w:lang w:eastAsia="fr-FR"/>
              </w:rPr>
            </w:pPr>
            <w:r w:rsidRPr="0012559C">
              <w:rPr>
                <w:rFonts w:ascii="Century Gothic" w:eastAsia="Times New Roman" w:hAnsi="Century Gothic" w:cs="Times New Roman"/>
                <w:b/>
                <w:bCs/>
                <w:color w:val="000000"/>
                <w:sz w:val="18"/>
                <w:szCs w:val="18"/>
                <w:lang w:eastAsia="fr-FR"/>
              </w:rPr>
              <w:t>8 820 €</w:t>
            </w:r>
          </w:p>
        </w:tc>
      </w:tr>
    </w:tbl>
    <w:p w:rsidR="0012559C" w:rsidRPr="003E16D5" w:rsidRDefault="0012559C"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r w:rsidRPr="003E16D5">
        <w:rPr>
          <w:rFonts w:ascii="Century Gothic" w:hAnsi="Century Gothic"/>
        </w:rPr>
        <w:t xml:space="preserve">De son côté, le salarié détient la totalité des titres de la société et peut la gérer seul au capital, avec une partie des titres qu’il reçoit par donation pour l’aider dans sa reprise et alléger le montant de la soulte. L’économie réalisée qui résulte de l’abattement et la réduction Dutreil compense largement la dotation consentie à </w:t>
      </w:r>
      <w:r w:rsidR="007511E7">
        <w:rPr>
          <w:rFonts w:ascii="Century Gothic" w:hAnsi="Century Gothic"/>
        </w:rPr>
        <w:t xml:space="preserve">Claude. </w:t>
      </w:r>
      <w:r w:rsidRPr="003E16D5">
        <w:rPr>
          <w:rFonts w:ascii="Century Gothic" w:hAnsi="Century Gothic"/>
        </w:rPr>
        <w:t xml:space="preserve"> </w:t>
      </w:r>
    </w:p>
    <w:p w:rsidR="003E16D5" w:rsidRPr="003E16D5" w:rsidRDefault="003E16D5" w:rsidP="003E16D5">
      <w:pPr>
        <w:spacing w:after="0"/>
        <w:jc w:val="both"/>
        <w:rPr>
          <w:rFonts w:ascii="Century Gothic" w:hAnsi="Century Gothic"/>
        </w:rPr>
      </w:pPr>
    </w:p>
    <w:p w:rsidR="007B4D9B" w:rsidRDefault="003E16D5" w:rsidP="003E16D5">
      <w:pPr>
        <w:spacing w:after="0"/>
        <w:jc w:val="both"/>
        <w:rPr>
          <w:rFonts w:ascii="Century Gothic" w:hAnsi="Century Gothic"/>
        </w:rPr>
      </w:pPr>
      <w:r w:rsidRPr="003E16D5">
        <w:rPr>
          <w:rFonts w:ascii="Century Gothic" w:hAnsi="Century Gothic"/>
        </w:rPr>
        <w:t xml:space="preserve">A ce stade, la soulte n’est pas encore payée. Il est plus prudent de prévoir son paiement immédiat car en cas de variation de plus d’un quart depuis le partage des biens transmis, l’article 828 du Code Civil prévoit, sauf clause contraire, une variation similaire pour le montant de la soulte. S’agissant de titres de société, il est important de se prémunir d’un tel aléa. Pour régler la soulte, il sera conseillé à </w:t>
      </w:r>
      <w:r w:rsidR="007511E7">
        <w:rPr>
          <w:rFonts w:ascii="Century Gothic" w:hAnsi="Century Gothic"/>
        </w:rPr>
        <w:t>Claude</w:t>
      </w:r>
      <w:r w:rsidRPr="003E16D5">
        <w:rPr>
          <w:rFonts w:ascii="Century Gothic" w:hAnsi="Century Gothic"/>
        </w:rPr>
        <w:t xml:space="preserve"> de constituer une société holding. Ce dernier apportera la totalité de ses titres à une société holding à charge pour elle de supporter le paiement de la soulte due aux enfants. L’apport de titre à une société est un acte remettant en cause l’engagement de conservation des titres du pacte Dutreil. Cependant, il est admis la possibilité de réaliser un apport à une holding pour régler le paiement d’une soulte pendant l’engagement individuel du pacte Dutreil. </w:t>
      </w:r>
    </w:p>
    <w:p w:rsidR="007B4D9B" w:rsidRDefault="007B4D9B"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r w:rsidRPr="003E16D5">
        <w:rPr>
          <w:rFonts w:ascii="Century Gothic" w:hAnsi="Century Gothic"/>
        </w:rPr>
        <w:t xml:space="preserve">Le bénéfice de l’engagement dit « réputé acquis » du Dutreil sera déterminant pour la mise en place d’une telle stratégie. Ce dernier permet de se passer de l’engagement collectif de conservation à condition que le donateur ait détenu seul ou avec son conjoint plus de 34% des titres et ait exercé une fonction de direction pendant plus de deux ans. Ainsi, l’opération d’apport pourra être concomitante à la matérialisation de l’engagement réputé acquis du pacte Dutreil. Dans le cas des PME familiales, le réputé acquis est souvent possible. Le cas échéant, il peut être opportun de mettre en place un engagement collectif par tacite reconduction entre les associés afin de se préparer à toute éventualité en cas de transmission des titres. </w:t>
      </w:r>
    </w:p>
    <w:p w:rsidR="003E16D5" w:rsidRPr="003E16D5" w:rsidRDefault="003E16D5"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r w:rsidRPr="003E16D5">
        <w:rPr>
          <w:rFonts w:ascii="Century Gothic" w:hAnsi="Century Gothic"/>
        </w:rPr>
        <w:t xml:space="preserve">Pour régler sa soulte, la société holding fera appel à un emprunt bancaire dont les annuités seront remboursées au moyen des dividendes qu’elle perçoit de la société fille dans le cadre du régime mère-fille. Pendant les quatre ans de l’engagement individuel, la société holding devra avoir pour objet exclusif la détention des titres de la société fille et, évidemment, poursuivre l’engagement de conservation. La société holding sera donc obligatoirement « passive » pendant au moins la durée de l’engagement individuel de conservation. Elle aura cependant la possibilité d’acquérir également les titres de la société en question, permettant ainsi de prévoir, selon les objectifs, des situations mixtes entre donation et cession dans le cas où le chef d’entreprise souhaite, personnellement, percevoir des liquidités de la transmission de son entreprise. </w:t>
      </w:r>
    </w:p>
    <w:p w:rsidR="00A427AD" w:rsidRDefault="00A427AD" w:rsidP="003E16D5">
      <w:pPr>
        <w:spacing w:after="0"/>
        <w:jc w:val="both"/>
        <w:rPr>
          <w:rFonts w:ascii="Century Gothic" w:hAnsi="Century Gothic"/>
        </w:rPr>
      </w:pPr>
    </w:p>
    <w:p w:rsidR="003E16D5" w:rsidRPr="003E16D5" w:rsidRDefault="003E16D5" w:rsidP="003E16D5">
      <w:pPr>
        <w:spacing w:after="0"/>
        <w:jc w:val="both"/>
        <w:rPr>
          <w:rFonts w:ascii="Century Gothic" w:hAnsi="Century Gothic"/>
        </w:rPr>
      </w:pPr>
      <w:r w:rsidRPr="003E16D5">
        <w:rPr>
          <w:rFonts w:ascii="Century Gothic" w:hAnsi="Century Gothic"/>
        </w:rPr>
        <w:t xml:space="preserve">Au final, la transmission d’une partie de la société en utilisant la donation-partage avec un salarié a permis à Monsieur </w:t>
      </w:r>
      <w:r w:rsidR="007511E7">
        <w:rPr>
          <w:rFonts w:ascii="Century Gothic" w:hAnsi="Century Gothic"/>
        </w:rPr>
        <w:t>DUPONT</w:t>
      </w:r>
      <w:r w:rsidRPr="003E16D5">
        <w:rPr>
          <w:rFonts w:ascii="Century Gothic" w:hAnsi="Century Gothic"/>
        </w:rPr>
        <w:t xml:space="preserve"> d’éluder l’imposition sur la plus-value de cession en donnant les titres à ses enfants. Ces derniers ont bénéficié d’une </w:t>
      </w:r>
      <w:r w:rsidRPr="003E16D5">
        <w:rPr>
          <w:rFonts w:ascii="Century Gothic" w:hAnsi="Century Gothic"/>
        </w:rPr>
        <w:lastRenderedPageBreak/>
        <w:t xml:space="preserve">exonération de 75% sur les biens transmis et d’une réduction de 50% des droits sur des liquidités perçues. Quant à </w:t>
      </w:r>
      <w:r w:rsidR="00EC57E5">
        <w:rPr>
          <w:rFonts w:ascii="Century Gothic" w:hAnsi="Century Gothic"/>
        </w:rPr>
        <w:t>Claude</w:t>
      </w:r>
      <w:r w:rsidRPr="003E16D5">
        <w:rPr>
          <w:rFonts w:ascii="Century Gothic" w:hAnsi="Century Gothic"/>
        </w:rPr>
        <w:t xml:space="preserve">, il peut procéder à la reprise de la société via une holding de rachat dans des conditions fiscales favorables tout en recevant de Monsieur </w:t>
      </w:r>
      <w:r w:rsidR="007511E7">
        <w:rPr>
          <w:rFonts w:ascii="Century Gothic" w:hAnsi="Century Gothic"/>
        </w:rPr>
        <w:t>DUPONT</w:t>
      </w:r>
      <w:r w:rsidRPr="003E16D5">
        <w:rPr>
          <w:rFonts w:ascii="Century Gothic" w:hAnsi="Century Gothic"/>
        </w:rPr>
        <w:t xml:space="preserve"> une donation de titres pour lui permettre de pérenniser la continuité de son activité. </w:t>
      </w:r>
      <w:r w:rsidR="0012559C">
        <w:rPr>
          <w:rFonts w:ascii="Century Gothic" w:hAnsi="Century Gothic"/>
        </w:rPr>
        <w:t xml:space="preserve">Cette stratégie, combinée à l’attribution gratuite des titres à Claude, permet de consolider la stratégie de transmission en assurant des moyens plus confortables au salarié repreneur tout en transmettant le patrimoine aux enfants dans des conditions avantageuses. </w:t>
      </w:r>
    </w:p>
    <w:sectPr w:rsidR="003E16D5" w:rsidRPr="003E16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B4" w:rsidRDefault="00EB2DB4" w:rsidP="006F1D68">
      <w:pPr>
        <w:spacing w:after="0" w:line="240" w:lineRule="auto"/>
      </w:pPr>
      <w:r>
        <w:separator/>
      </w:r>
    </w:p>
  </w:endnote>
  <w:endnote w:type="continuationSeparator" w:id="0">
    <w:p w:rsidR="00EB2DB4" w:rsidRDefault="00EB2DB4" w:rsidP="006F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DINPro-Light">
    <w:altName w:val="Segoe Script"/>
    <w:charset w:val="00"/>
    <w:family w:val="auto"/>
    <w:pitch w:val="variable"/>
    <w:sig w:usb0="00000001"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B4" w:rsidRDefault="00EB2DB4" w:rsidP="006F1D68">
      <w:pPr>
        <w:spacing w:after="0" w:line="240" w:lineRule="auto"/>
      </w:pPr>
      <w:r>
        <w:separator/>
      </w:r>
    </w:p>
  </w:footnote>
  <w:footnote w:type="continuationSeparator" w:id="0">
    <w:p w:rsidR="00EB2DB4" w:rsidRDefault="00EB2DB4" w:rsidP="006F1D68">
      <w:pPr>
        <w:spacing w:after="0" w:line="240" w:lineRule="auto"/>
      </w:pPr>
      <w:r>
        <w:continuationSeparator/>
      </w:r>
    </w:p>
  </w:footnote>
  <w:footnote w:id="1">
    <w:p w:rsidR="00172223" w:rsidRPr="00187B66" w:rsidRDefault="00172223">
      <w:pPr>
        <w:pStyle w:val="Notedebasdepage"/>
        <w:rPr>
          <w:rFonts w:ascii="Century Gothic" w:hAnsi="Century Gothic"/>
        </w:rPr>
      </w:pPr>
      <w:r w:rsidRPr="00187B66">
        <w:rPr>
          <w:rStyle w:val="Appelnotedebasdep"/>
          <w:rFonts w:ascii="Century Gothic" w:hAnsi="Century Gothic"/>
        </w:rPr>
        <w:footnoteRef/>
      </w:r>
      <w:r w:rsidRPr="00187B66">
        <w:rPr>
          <w:rFonts w:ascii="Century Gothic" w:hAnsi="Century Gothic"/>
        </w:rPr>
        <w:t xml:space="preserve"> Détention entre 2 et 8 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9430B57"/>
    <w:multiLevelType w:val="multilevel"/>
    <w:tmpl w:val="83B6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A2055"/>
    <w:multiLevelType w:val="hybridMultilevel"/>
    <w:tmpl w:val="5DAAABC6"/>
    <w:lvl w:ilvl="0" w:tplc="AAF03F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334E5"/>
    <w:multiLevelType w:val="multilevel"/>
    <w:tmpl w:val="E87C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35AC9"/>
    <w:multiLevelType w:val="multilevel"/>
    <w:tmpl w:val="1FF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B544D"/>
    <w:multiLevelType w:val="hybridMultilevel"/>
    <w:tmpl w:val="856E32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309CD"/>
    <w:multiLevelType w:val="multilevel"/>
    <w:tmpl w:val="741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35591"/>
    <w:multiLevelType w:val="multilevel"/>
    <w:tmpl w:val="D786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B5BF0"/>
    <w:multiLevelType w:val="hybridMultilevel"/>
    <w:tmpl w:val="BA10850A"/>
    <w:lvl w:ilvl="0" w:tplc="10B66A06">
      <w:start w:val="50"/>
      <w:numFmt w:val="bullet"/>
      <w:lvlText w:val="→"/>
      <w:lvlJc w:val="left"/>
      <w:pPr>
        <w:ind w:left="720" w:hanging="360"/>
      </w:pPr>
      <w:rPr>
        <w:rFonts w:ascii="Calibri" w:hAnsi="Calibri"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8C36BF"/>
    <w:multiLevelType w:val="hybridMultilevel"/>
    <w:tmpl w:val="FE9892E0"/>
    <w:lvl w:ilvl="0" w:tplc="EE42F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AE5A0B"/>
    <w:multiLevelType w:val="hybridMultilevel"/>
    <w:tmpl w:val="432AF088"/>
    <w:lvl w:ilvl="0" w:tplc="C6C4CEA8">
      <w:start w:val="1"/>
      <w:numFmt w:val="bullet"/>
      <w:lvlText w:val=""/>
      <w:lvlJc w:val="left"/>
      <w:pPr>
        <w:ind w:left="720" w:hanging="360"/>
      </w:pPr>
      <w:rPr>
        <w:rFonts w:ascii="Wingdings" w:hAnsi="Wingdings" w:hint="default"/>
        <w:strike w:val="0"/>
        <w:dstrike w:val="0"/>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C552D5"/>
    <w:multiLevelType w:val="hybridMultilevel"/>
    <w:tmpl w:val="DB20DF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B56F3C"/>
    <w:multiLevelType w:val="hybridMultilevel"/>
    <w:tmpl w:val="5F62B300"/>
    <w:lvl w:ilvl="0" w:tplc="10B66A06">
      <w:start w:val="50"/>
      <w:numFmt w:val="bullet"/>
      <w:lvlText w:val="→"/>
      <w:lvlJc w:val="left"/>
      <w:pPr>
        <w:ind w:left="720" w:hanging="360"/>
      </w:pPr>
      <w:rPr>
        <w:rFonts w:ascii="Calibri" w:hAnsi="Calibri"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36090A"/>
    <w:multiLevelType w:val="hybridMultilevel"/>
    <w:tmpl w:val="06FE82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0"/>
  </w:num>
  <w:num w:numId="5">
    <w:abstractNumId w:val="6"/>
  </w:num>
  <w:num w:numId="6">
    <w:abstractNumId w:val="11"/>
  </w:num>
  <w:num w:numId="7">
    <w:abstractNumId w:val="9"/>
  </w:num>
  <w:num w:numId="8">
    <w:abstractNumId w:val="8"/>
  </w:num>
  <w:num w:numId="9">
    <w:abstractNumId w:val="3"/>
  </w:num>
  <w:num w:numId="10">
    <w:abstractNumId w:val="2"/>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F7"/>
    <w:rsid w:val="00005835"/>
    <w:rsid w:val="000102A6"/>
    <w:rsid w:val="00031E85"/>
    <w:rsid w:val="000320B1"/>
    <w:rsid w:val="00040CEE"/>
    <w:rsid w:val="00047296"/>
    <w:rsid w:val="00053639"/>
    <w:rsid w:val="00066136"/>
    <w:rsid w:val="0006764E"/>
    <w:rsid w:val="00084F11"/>
    <w:rsid w:val="00090A86"/>
    <w:rsid w:val="000A5E94"/>
    <w:rsid w:val="000A6B33"/>
    <w:rsid w:val="000B1FA3"/>
    <w:rsid w:val="000B3FEF"/>
    <w:rsid w:val="000D6990"/>
    <w:rsid w:val="000E1707"/>
    <w:rsid w:val="0010531E"/>
    <w:rsid w:val="001066C9"/>
    <w:rsid w:val="00106C32"/>
    <w:rsid w:val="00111D00"/>
    <w:rsid w:val="00113953"/>
    <w:rsid w:val="00115C3E"/>
    <w:rsid w:val="00120A82"/>
    <w:rsid w:val="0012559C"/>
    <w:rsid w:val="00130232"/>
    <w:rsid w:val="00142D5A"/>
    <w:rsid w:val="00150624"/>
    <w:rsid w:val="00154988"/>
    <w:rsid w:val="0015519C"/>
    <w:rsid w:val="00171E5F"/>
    <w:rsid w:val="00172218"/>
    <w:rsid w:val="00172223"/>
    <w:rsid w:val="00172C8D"/>
    <w:rsid w:val="00174CD5"/>
    <w:rsid w:val="00187B66"/>
    <w:rsid w:val="001A2AF4"/>
    <w:rsid w:val="001B1663"/>
    <w:rsid w:val="001B6AD8"/>
    <w:rsid w:val="001C2B7F"/>
    <w:rsid w:val="001D1561"/>
    <w:rsid w:val="001D7AC7"/>
    <w:rsid w:val="001F4341"/>
    <w:rsid w:val="00215C61"/>
    <w:rsid w:val="00235731"/>
    <w:rsid w:val="002508D7"/>
    <w:rsid w:val="002750FC"/>
    <w:rsid w:val="0028181E"/>
    <w:rsid w:val="00296C54"/>
    <w:rsid w:val="002B09BE"/>
    <w:rsid w:val="002B252A"/>
    <w:rsid w:val="002B4A60"/>
    <w:rsid w:val="002B7688"/>
    <w:rsid w:val="002C790A"/>
    <w:rsid w:val="002D3DED"/>
    <w:rsid w:val="002D7CD0"/>
    <w:rsid w:val="002F1042"/>
    <w:rsid w:val="002F14A8"/>
    <w:rsid w:val="002F1C34"/>
    <w:rsid w:val="00301FFB"/>
    <w:rsid w:val="00307962"/>
    <w:rsid w:val="00326E1E"/>
    <w:rsid w:val="00366843"/>
    <w:rsid w:val="003A3243"/>
    <w:rsid w:val="003A4A39"/>
    <w:rsid w:val="003A66D4"/>
    <w:rsid w:val="003B3CCF"/>
    <w:rsid w:val="003D0691"/>
    <w:rsid w:val="003D5B80"/>
    <w:rsid w:val="003E16D5"/>
    <w:rsid w:val="004372DA"/>
    <w:rsid w:val="004534C3"/>
    <w:rsid w:val="004573A3"/>
    <w:rsid w:val="00461B2E"/>
    <w:rsid w:val="00464FED"/>
    <w:rsid w:val="004665CA"/>
    <w:rsid w:val="00467A5D"/>
    <w:rsid w:val="00485A96"/>
    <w:rsid w:val="00490B5A"/>
    <w:rsid w:val="004924C3"/>
    <w:rsid w:val="004B33CC"/>
    <w:rsid w:val="004C718D"/>
    <w:rsid w:val="004D2F49"/>
    <w:rsid w:val="004D6B5F"/>
    <w:rsid w:val="004E7450"/>
    <w:rsid w:val="004F07D4"/>
    <w:rsid w:val="004F3A1B"/>
    <w:rsid w:val="005168CB"/>
    <w:rsid w:val="00531A7E"/>
    <w:rsid w:val="0053246A"/>
    <w:rsid w:val="00533351"/>
    <w:rsid w:val="00535251"/>
    <w:rsid w:val="005379FC"/>
    <w:rsid w:val="005444A2"/>
    <w:rsid w:val="00555074"/>
    <w:rsid w:val="00557868"/>
    <w:rsid w:val="005650D5"/>
    <w:rsid w:val="005666B6"/>
    <w:rsid w:val="005732D9"/>
    <w:rsid w:val="00577686"/>
    <w:rsid w:val="005851FC"/>
    <w:rsid w:val="005A2491"/>
    <w:rsid w:val="005A262B"/>
    <w:rsid w:val="005A2804"/>
    <w:rsid w:val="005B4BD0"/>
    <w:rsid w:val="005B5F7B"/>
    <w:rsid w:val="005B6837"/>
    <w:rsid w:val="005C5434"/>
    <w:rsid w:val="005D2BFA"/>
    <w:rsid w:val="005E7CFD"/>
    <w:rsid w:val="005F215F"/>
    <w:rsid w:val="005F2DC9"/>
    <w:rsid w:val="005F7DB5"/>
    <w:rsid w:val="00621176"/>
    <w:rsid w:val="00633000"/>
    <w:rsid w:val="00636872"/>
    <w:rsid w:val="00653509"/>
    <w:rsid w:val="00653814"/>
    <w:rsid w:val="00670247"/>
    <w:rsid w:val="00676184"/>
    <w:rsid w:val="00681481"/>
    <w:rsid w:val="00683EDA"/>
    <w:rsid w:val="006854B5"/>
    <w:rsid w:val="006A40E7"/>
    <w:rsid w:val="006B0B8D"/>
    <w:rsid w:val="006B175B"/>
    <w:rsid w:val="006B6ED1"/>
    <w:rsid w:val="006E2473"/>
    <w:rsid w:val="006E79D1"/>
    <w:rsid w:val="006F1D68"/>
    <w:rsid w:val="00700AF3"/>
    <w:rsid w:val="00711398"/>
    <w:rsid w:val="0073026B"/>
    <w:rsid w:val="007448CF"/>
    <w:rsid w:val="00746D59"/>
    <w:rsid w:val="007511E7"/>
    <w:rsid w:val="0075508B"/>
    <w:rsid w:val="00784841"/>
    <w:rsid w:val="00790CC0"/>
    <w:rsid w:val="007A3003"/>
    <w:rsid w:val="007A7AD5"/>
    <w:rsid w:val="007B1AE4"/>
    <w:rsid w:val="007B4D9B"/>
    <w:rsid w:val="007C7833"/>
    <w:rsid w:val="007D59F0"/>
    <w:rsid w:val="007E50EE"/>
    <w:rsid w:val="007E5D76"/>
    <w:rsid w:val="007F3AAD"/>
    <w:rsid w:val="00806392"/>
    <w:rsid w:val="00814ACE"/>
    <w:rsid w:val="00822920"/>
    <w:rsid w:val="00823535"/>
    <w:rsid w:val="00854066"/>
    <w:rsid w:val="00865732"/>
    <w:rsid w:val="00865921"/>
    <w:rsid w:val="008728E8"/>
    <w:rsid w:val="008731C5"/>
    <w:rsid w:val="0087592B"/>
    <w:rsid w:val="00893894"/>
    <w:rsid w:val="008A49D3"/>
    <w:rsid w:val="008A5AC7"/>
    <w:rsid w:val="008B6590"/>
    <w:rsid w:val="008C4AE5"/>
    <w:rsid w:val="008D7AF2"/>
    <w:rsid w:val="008E2E2B"/>
    <w:rsid w:val="0090772D"/>
    <w:rsid w:val="009104DA"/>
    <w:rsid w:val="009107D3"/>
    <w:rsid w:val="0091685D"/>
    <w:rsid w:val="00923E22"/>
    <w:rsid w:val="0093611B"/>
    <w:rsid w:val="00941365"/>
    <w:rsid w:val="00942DDE"/>
    <w:rsid w:val="00945332"/>
    <w:rsid w:val="00964AA8"/>
    <w:rsid w:val="00972E7A"/>
    <w:rsid w:val="00984E01"/>
    <w:rsid w:val="00994556"/>
    <w:rsid w:val="009A4C17"/>
    <w:rsid w:val="009B652A"/>
    <w:rsid w:val="009C51FC"/>
    <w:rsid w:val="009E0A25"/>
    <w:rsid w:val="009E20C7"/>
    <w:rsid w:val="009E3364"/>
    <w:rsid w:val="009E4238"/>
    <w:rsid w:val="009E43C5"/>
    <w:rsid w:val="009F4D9A"/>
    <w:rsid w:val="00A057D6"/>
    <w:rsid w:val="00A211F5"/>
    <w:rsid w:val="00A2570B"/>
    <w:rsid w:val="00A427AD"/>
    <w:rsid w:val="00A52FCB"/>
    <w:rsid w:val="00A719BB"/>
    <w:rsid w:val="00AA740E"/>
    <w:rsid w:val="00AB43D1"/>
    <w:rsid w:val="00AB60ED"/>
    <w:rsid w:val="00AC3593"/>
    <w:rsid w:val="00B0535B"/>
    <w:rsid w:val="00B152B9"/>
    <w:rsid w:val="00B32A9D"/>
    <w:rsid w:val="00B33B65"/>
    <w:rsid w:val="00B36182"/>
    <w:rsid w:val="00B800ED"/>
    <w:rsid w:val="00B87FEF"/>
    <w:rsid w:val="00B97622"/>
    <w:rsid w:val="00B97FE4"/>
    <w:rsid w:val="00BD2F56"/>
    <w:rsid w:val="00BD66F4"/>
    <w:rsid w:val="00BE2F5B"/>
    <w:rsid w:val="00BE31CC"/>
    <w:rsid w:val="00BF67BD"/>
    <w:rsid w:val="00BF6971"/>
    <w:rsid w:val="00C074C8"/>
    <w:rsid w:val="00C317EF"/>
    <w:rsid w:val="00C36F61"/>
    <w:rsid w:val="00C501B5"/>
    <w:rsid w:val="00C502AD"/>
    <w:rsid w:val="00C52260"/>
    <w:rsid w:val="00C66B76"/>
    <w:rsid w:val="00C8160D"/>
    <w:rsid w:val="00C938AE"/>
    <w:rsid w:val="00C94007"/>
    <w:rsid w:val="00C94E77"/>
    <w:rsid w:val="00C95FF8"/>
    <w:rsid w:val="00CA0EDB"/>
    <w:rsid w:val="00CA1611"/>
    <w:rsid w:val="00CB00BD"/>
    <w:rsid w:val="00CB0E47"/>
    <w:rsid w:val="00CD2A95"/>
    <w:rsid w:val="00CD5B16"/>
    <w:rsid w:val="00CE12F7"/>
    <w:rsid w:val="00CF50F2"/>
    <w:rsid w:val="00D02299"/>
    <w:rsid w:val="00D0569B"/>
    <w:rsid w:val="00D122E5"/>
    <w:rsid w:val="00D44B13"/>
    <w:rsid w:val="00D4659C"/>
    <w:rsid w:val="00D47374"/>
    <w:rsid w:val="00D64058"/>
    <w:rsid w:val="00D6543C"/>
    <w:rsid w:val="00D70BB4"/>
    <w:rsid w:val="00D7643E"/>
    <w:rsid w:val="00D931C7"/>
    <w:rsid w:val="00DB15C4"/>
    <w:rsid w:val="00DB4850"/>
    <w:rsid w:val="00DD3A50"/>
    <w:rsid w:val="00DE71F0"/>
    <w:rsid w:val="00DE7500"/>
    <w:rsid w:val="00DF0F19"/>
    <w:rsid w:val="00DF57AA"/>
    <w:rsid w:val="00E0679A"/>
    <w:rsid w:val="00E1683E"/>
    <w:rsid w:val="00E16F2B"/>
    <w:rsid w:val="00E444F5"/>
    <w:rsid w:val="00E5635C"/>
    <w:rsid w:val="00E601A0"/>
    <w:rsid w:val="00E6751B"/>
    <w:rsid w:val="00E7672B"/>
    <w:rsid w:val="00E76F10"/>
    <w:rsid w:val="00E8676C"/>
    <w:rsid w:val="00EA49DA"/>
    <w:rsid w:val="00EB2DB4"/>
    <w:rsid w:val="00EC57E5"/>
    <w:rsid w:val="00EE62F9"/>
    <w:rsid w:val="00EE73B8"/>
    <w:rsid w:val="00EF367F"/>
    <w:rsid w:val="00F00A11"/>
    <w:rsid w:val="00F152FD"/>
    <w:rsid w:val="00F1543E"/>
    <w:rsid w:val="00F24EFE"/>
    <w:rsid w:val="00F254C8"/>
    <w:rsid w:val="00F37393"/>
    <w:rsid w:val="00F423AE"/>
    <w:rsid w:val="00F55364"/>
    <w:rsid w:val="00F622EA"/>
    <w:rsid w:val="00F6292E"/>
    <w:rsid w:val="00F634C4"/>
    <w:rsid w:val="00F67E91"/>
    <w:rsid w:val="00F758D0"/>
    <w:rsid w:val="00F90F99"/>
    <w:rsid w:val="00FA214C"/>
    <w:rsid w:val="00FA2609"/>
    <w:rsid w:val="00FA6C4A"/>
    <w:rsid w:val="00FB44D9"/>
    <w:rsid w:val="00FB4E65"/>
    <w:rsid w:val="00FC5AC8"/>
    <w:rsid w:val="00FF2066"/>
    <w:rsid w:val="00FF40A5"/>
    <w:rsid w:val="00FF4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760B3-5A0B-4E54-8204-A77BF4B6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E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F1D68"/>
    <w:rPr>
      <w:sz w:val="16"/>
      <w:szCs w:val="16"/>
    </w:rPr>
  </w:style>
  <w:style w:type="paragraph" w:styleId="Commentaire">
    <w:name w:val="annotation text"/>
    <w:basedOn w:val="Normal"/>
    <w:link w:val="CommentaireCar"/>
    <w:uiPriority w:val="99"/>
    <w:semiHidden/>
    <w:unhideWhenUsed/>
    <w:rsid w:val="006F1D68"/>
    <w:pPr>
      <w:spacing w:line="240" w:lineRule="auto"/>
    </w:pPr>
    <w:rPr>
      <w:sz w:val="20"/>
      <w:szCs w:val="20"/>
    </w:rPr>
  </w:style>
  <w:style w:type="character" w:customStyle="1" w:styleId="CommentaireCar">
    <w:name w:val="Commentaire Car"/>
    <w:basedOn w:val="Policepardfaut"/>
    <w:link w:val="Commentaire"/>
    <w:uiPriority w:val="99"/>
    <w:semiHidden/>
    <w:rsid w:val="006F1D68"/>
    <w:rPr>
      <w:sz w:val="20"/>
      <w:szCs w:val="20"/>
    </w:rPr>
  </w:style>
  <w:style w:type="paragraph" w:styleId="Objetducommentaire">
    <w:name w:val="annotation subject"/>
    <w:basedOn w:val="Commentaire"/>
    <w:next w:val="Commentaire"/>
    <w:link w:val="ObjetducommentaireCar"/>
    <w:uiPriority w:val="99"/>
    <w:semiHidden/>
    <w:unhideWhenUsed/>
    <w:rsid w:val="006F1D68"/>
    <w:rPr>
      <w:b/>
      <w:bCs/>
    </w:rPr>
  </w:style>
  <w:style w:type="character" w:customStyle="1" w:styleId="ObjetducommentaireCar">
    <w:name w:val="Objet du commentaire Car"/>
    <w:basedOn w:val="CommentaireCar"/>
    <w:link w:val="Objetducommentaire"/>
    <w:uiPriority w:val="99"/>
    <w:semiHidden/>
    <w:rsid w:val="006F1D68"/>
    <w:rPr>
      <w:b/>
      <w:bCs/>
      <w:sz w:val="20"/>
      <w:szCs w:val="20"/>
    </w:rPr>
  </w:style>
  <w:style w:type="paragraph" w:styleId="Textedebulles">
    <w:name w:val="Balloon Text"/>
    <w:basedOn w:val="Normal"/>
    <w:link w:val="TextedebullesCar"/>
    <w:uiPriority w:val="99"/>
    <w:semiHidden/>
    <w:unhideWhenUsed/>
    <w:rsid w:val="006F1D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1D68"/>
    <w:rPr>
      <w:rFonts w:ascii="Segoe UI" w:hAnsi="Segoe UI" w:cs="Segoe UI"/>
      <w:sz w:val="18"/>
      <w:szCs w:val="18"/>
    </w:rPr>
  </w:style>
  <w:style w:type="paragraph" w:styleId="Notedebasdepage">
    <w:name w:val="footnote text"/>
    <w:basedOn w:val="Normal"/>
    <w:link w:val="NotedebasdepageCar"/>
    <w:uiPriority w:val="99"/>
    <w:semiHidden/>
    <w:unhideWhenUsed/>
    <w:rsid w:val="006F1D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1D68"/>
    <w:rPr>
      <w:sz w:val="20"/>
      <w:szCs w:val="20"/>
    </w:rPr>
  </w:style>
  <w:style w:type="character" w:styleId="Appelnotedebasdep">
    <w:name w:val="footnote reference"/>
    <w:basedOn w:val="Policepardfaut"/>
    <w:uiPriority w:val="99"/>
    <w:semiHidden/>
    <w:unhideWhenUsed/>
    <w:rsid w:val="006F1D68"/>
    <w:rPr>
      <w:vertAlign w:val="superscript"/>
    </w:rPr>
  </w:style>
  <w:style w:type="paragraph" w:styleId="Paragraphedeliste">
    <w:name w:val="List Paragraph"/>
    <w:basedOn w:val="Normal"/>
    <w:link w:val="ParagraphedelisteCar"/>
    <w:uiPriority w:val="34"/>
    <w:qFormat/>
    <w:rsid w:val="00B36182"/>
    <w:pPr>
      <w:ind w:left="720"/>
      <w:contextualSpacing/>
    </w:pPr>
  </w:style>
  <w:style w:type="character" w:styleId="lev">
    <w:name w:val="Strong"/>
    <w:basedOn w:val="Policepardfaut"/>
    <w:uiPriority w:val="22"/>
    <w:qFormat/>
    <w:rsid w:val="004924C3"/>
    <w:rPr>
      <w:b/>
      <w:bCs/>
    </w:rPr>
  </w:style>
  <w:style w:type="character" w:styleId="Lienhypertexte">
    <w:name w:val="Hyperlink"/>
    <w:basedOn w:val="Policepardfaut"/>
    <w:uiPriority w:val="99"/>
    <w:semiHidden/>
    <w:unhideWhenUsed/>
    <w:rsid w:val="004F3A1B"/>
    <w:rPr>
      <w:strike w:val="0"/>
      <w:dstrike w:val="0"/>
      <w:color w:val="0000CC"/>
      <w:u w:val="none"/>
      <w:effect w:val="none"/>
    </w:rPr>
  </w:style>
  <w:style w:type="paragraph" w:styleId="NormalWeb">
    <w:name w:val="Normal (Web)"/>
    <w:basedOn w:val="Normal"/>
    <w:uiPriority w:val="99"/>
    <w:unhideWhenUsed/>
    <w:rsid w:val="004F3A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F3A1B"/>
    <w:rPr>
      <w:i/>
      <w:iCs/>
    </w:rPr>
  </w:style>
  <w:style w:type="character" w:customStyle="1" w:styleId="st1">
    <w:name w:val="st1"/>
    <w:basedOn w:val="Policepardfaut"/>
    <w:rsid w:val="00DD3A50"/>
  </w:style>
  <w:style w:type="paragraph" w:styleId="Sansinterligne">
    <w:name w:val="No Spacing"/>
    <w:uiPriority w:val="1"/>
    <w:qFormat/>
    <w:rsid w:val="00BD2F56"/>
    <w:pPr>
      <w:spacing w:after="0" w:line="240" w:lineRule="auto"/>
    </w:pPr>
  </w:style>
  <w:style w:type="character" w:customStyle="1" w:styleId="ParagraphedelisteCar">
    <w:name w:val="Paragraphe de liste Car"/>
    <w:basedOn w:val="Policepardfaut"/>
    <w:link w:val="Paragraphedeliste"/>
    <w:uiPriority w:val="34"/>
    <w:rsid w:val="00BD2F56"/>
  </w:style>
  <w:style w:type="character" w:styleId="Textedelespacerserv">
    <w:name w:val="Placeholder Text"/>
    <w:basedOn w:val="Policepardfaut"/>
    <w:uiPriority w:val="99"/>
    <w:semiHidden/>
    <w:rsid w:val="004C718D"/>
    <w:rPr>
      <w:color w:val="808080"/>
    </w:rPr>
  </w:style>
  <w:style w:type="paragraph" w:customStyle="1" w:styleId="Default">
    <w:name w:val="Default"/>
    <w:rsid w:val="00B32A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8004">
      <w:bodyDiv w:val="1"/>
      <w:marLeft w:val="0"/>
      <w:marRight w:val="0"/>
      <w:marTop w:val="0"/>
      <w:marBottom w:val="0"/>
      <w:divBdr>
        <w:top w:val="none" w:sz="0" w:space="0" w:color="auto"/>
        <w:left w:val="none" w:sz="0" w:space="0" w:color="auto"/>
        <w:bottom w:val="none" w:sz="0" w:space="0" w:color="auto"/>
        <w:right w:val="none" w:sz="0" w:space="0" w:color="auto"/>
      </w:divBdr>
      <w:divsChild>
        <w:div w:id="28915896">
          <w:marLeft w:val="0"/>
          <w:marRight w:val="0"/>
          <w:marTop w:val="0"/>
          <w:marBottom w:val="0"/>
          <w:divBdr>
            <w:top w:val="none" w:sz="0" w:space="0" w:color="auto"/>
            <w:left w:val="none" w:sz="0" w:space="0" w:color="auto"/>
            <w:bottom w:val="none" w:sz="0" w:space="0" w:color="auto"/>
            <w:right w:val="none" w:sz="0" w:space="0" w:color="auto"/>
          </w:divBdr>
          <w:divsChild>
            <w:div w:id="371393573">
              <w:marLeft w:val="-225"/>
              <w:marRight w:val="-225"/>
              <w:marTop w:val="0"/>
              <w:marBottom w:val="0"/>
              <w:divBdr>
                <w:top w:val="none" w:sz="0" w:space="0" w:color="auto"/>
                <w:left w:val="none" w:sz="0" w:space="0" w:color="auto"/>
                <w:bottom w:val="none" w:sz="0" w:space="0" w:color="auto"/>
                <w:right w:val="none" w:sz="0" w:space="0" w:color="auto"/>
              </w:divBdr>
              <w:divsChild>
                <w:div w:id="4765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403">
      <w:bodyDiv w:val="1"/>
      <w:marLeft w:val="0"/>
      <w:marRight w:val="0"/>
      <w:marTop w:val="0"/>
      <w:marBottom w:val="0"/>
      <w:divBdr>
        <w:top w:val="none" w:sz="0" w:space="0" w:color="auto"/>
        <w:left w:val="none" w:sz="0" w:space="0" w:color="auto"/>
        <w:bottom w:val="none" w:sz="0" w:space="0" w:color="auto"/>
        <w:right w:val="none" w:sz="0" w:space="0" w:color="auto"/>
      </w:divBdr>
      <w:divsChild>
        <w:div w:id="142044608">
          <w:marLeft w:val="0"/>
          <w:marRight w:val="0"/>
          <w:marTop w:val="0"/>
          <w:marBottom w:val="0"/>
          <w:divBdr>
            <w:top w:val="none" w:sz="0" w:space="0" w:color="auto"/>
            <w:left w:val="none" w:sz="0" w:space="0" w:color="auto"/>
            <w:bottom w:val="none" w:sz="0" w:space="0" w:color="auto"/>
            <w:right w:val="none" w:sz="0" w:space="0" w:color="auto"/>
          </w:divBdr>
          <w:divsChild>
            <w:div w:id="731736492">
              <w:marLeft w:val="0"/>
              <w:marRight w:val="0"/>
              <w:marTop w:val="0"/>
              <w:marBottom w:val="0"/>
              <w:divBdr>
                <w:top w:val="none" w:sz="0" w:space="0" w:color="auto"/>
                <w:left w:val="none" w:sz="0" w:space="0" w:color="auto"/>
                <w:bottom w:val="none" w:sz="0" w:space="0" w:color="auto"/>
                <w:right w:val="none" w:sz="0" w:space="0" w:color="auto"/>
              </w:divBdr>
              <w:divsChild>
                <w:div w:id="1678191984">
                  <w:marLeft w:val="0"/>
                  <w:marRight w:val="0"/>
                  <w:marTop w:val="0"/>
                  <w:marBottom w:val="0"/>
                  <w:divBdr>
                    <w:top w:val="none" w:sz="0" w:space="0" w:color="auto"/>
                    <w:left w:val="none" w:sz="0" w:space="0" w:color="auto"/>
                    <w:bottom w:val="none" w:sz="0" w:space="0" w:color="auto"/>
                    <w:right w:val="none" w:sz="0" w:space="0" w:color="auto"/>
                  </w:divBdr>
                  <w:divsChild>
                    <w:div w:id="388846393">
                      <w:marLeft w:val="0"/>
                      <w:marRight w:val="0"/>
                      <w:marTop w:val="0"/>
                      <w:marBottom w:val="0"/>
                      <w:divBdr>
                        <w:top w:val="none" w:sz="0" w:space="0" w:color="auto"/>
                        <w:left w:val="none" w:sz="0" w:space="0" w:color="auto"/>
                        <w:bottom w:val="none" w:sz="0" w:space="0" w:color="auto"/>
                        <w:right w:val="none" w:sz="0" w:space="0" w:color="auto"/>
                      </w:divBdr>
                      <w:divsChild>
                        <w:div w:id="160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6286">
      <w:bodyDiv w:val="1"/>
      <w:marLeft w:val="0"/>
      <w:marRight w:val="0"/>
      <w:marTop w:val="0"/>
      <w:marBottom w:val="0"/>
      <w:divBdr>
        <w:top w:val="none" w:sz="0" w:space="0" w:color="auto"/>
        <w:left w:val="none" w:sz="0" w:space="0" w:color="auto"/>
        <w:bottom w:val="none" w:sz="0" w:space="0" w:color="auto"/>
        <w:right w:val="none" w:sz="0" w:space="0" w:color="auto"/>
      </w:divBdr>
    </w:div>
    <w:div w:id="647321720">
      <w:bodyDiv w:val="1"/>
      <w:marLeft w:val="0"/>
      <w:marRight w:val="0"/>
      <w:marTop w:val="0"/>
      <w:marBottom w:val="0"/>
      <w:divBdr>
        <w:top w:val="none" w:sz="0" w:space="0" w:color="auto"/>
        <w:left w:val="none" w:sz="0" w:space="0" w:color="auto"/>
        <w:bottom w:val="none" w:sz="0" w:space="0" w:color="auto"/>
        <w:right w:val="none" w:sz="0" w:space="0" w:color="auto"/>
      </w:divBdr>
      <w:divsChild>
        <w:div w:id="1119763511">
          <w:marLeft w:val="0"/>
          <w:marRight w:val="0"/>
          <w:marTop w:val="0"/>
          <w:marBottom w:val="0"/>
          <w:divBdr>
            <w:top w:val="none" w:sz="0" w:space="0" w:color="auto"/>
            <w:left w:val="none" w:sz="0" w:space="0" w:color="auto"/>
            <w:bottom w:val="none" w:sz="0" w:space="0" w:color="auto"/>
            <w:right w:val="none" w:sz="0" w:space="0" w:color="auto"/>
          </w:divBdr>
          <w:divsChild>
            <w:div w:id="1025904833">
              <w:marLeft w:val="0"/>
              <w:marRight w:val="0"/>
              <w:marTop w:val="0"/>
              <w:marBottom w:val="0"/>
              <w:divBdr>
                <w:top w:val="none" w:sz="0" w:space="0" w:color="auto"/>
                <w:left w:val="none" w:sz="0" w:space="0" w:color="auto"/>
                <w:bottom w:val="none" w:sz="0" w:space="0" w:color="auto"/>
                <w:right w:val="none" w:sz="0" w:space="0" w:color="auto"/>
              </w:divBdr>
              <w:divsChild>
                <w:div w:id="1732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6787">
      <w:bodyDiv w:val="1"/>
      <w:marLeft w:val="0"/>
      <w:marRight w:val="0"/>
      <w:marTop w:val="825"/>
      <w:marBottom w:val="0"/>
      <w:divBdr>
        <w:top w:val="none" w:sz="0" w:space="0" w:color="auto"/>
        <w:left w:val="none" w:sz="0" w:space="0" w:color="auto"/>
        <w:bottom w:val="none" w:sz="0" w:space="0" w:color="auto"/>
        <w:right w:val="none" w:sz="0" w:space="0" w:color="auto"/>
      </w:divBdr>
    </w:div>
    <w:div w:id="1132863733">
      <w:bodyDiv w:val="1"/>
      <w:marLeft w:val="0"/>
      <w:marRight w:val="0"/>
      <w:marTop w:val="0"/>
      <w:marBottom w:val="0"/>
      <w:divBdr>
        <w:top w:val="none" w:sz="0" w:space="0" w:color="auto"/>
        <w:left w:val="none" w:sz="0" w:space="0" w:color="auto"/>
        <w:bottom w:val="none" w:sz="0" w:space="0" w:color="auto"/>
        <w:right w:val="none" w:sz="0" w:space="0" w:color="auto"/>
      </w:divBdr>
      <w:divsChild>
        <w:div w:id="1142649892">
          <w:marLeft w:val="0"/>
          <w:marRight w:val="0"/>
          <w:marTop w:val="0"/>
          <w:marBottom w:val="0"/>
          <w:divBdr>
            <w:top w:val="none" w:sz="0" w:space="0" w:color="auto"/>
            <w:left w:val="none" w:sz="0" w:space="0" w:color="auto"/>
            <w:bottom w:val="none" w:sz="0" w:space="0" w:color="auto"/>
            <w:right w:val="none" w:sz="0" w:space="0" w:color="auto"/>
          </w:divBdr>
          <w:divsChild>
            <w:div w:id="1895433054">
              <w:marLeft w:val="-225"/>
              <w:marRight w:val="-225"/>
              <w:marTop w:val="0"/>
              <w:marBottom w:val="0"/>
              <w:divBdr>
                <w:top w:val="none" w:sz="0" w:space="0" w:color="auto"/>
                <w:left w:val="none" w:sz="0" w:space="0" w:color="auto"/>
                <w:bottom w:val="none" w:sz="0" w:space="0" w:color="auto"/>
                <w:right w:val="none" w:sz="0" w:space="0" w:color="auto"/>
              </w:divBdr>
              <w:divsChild>
                <w:div w:id="18033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5717">
      <w:bodyDiv w:val="1"/>
      <w:marLeft w:val="0"/>
      <w:marRight w:val="0"/>
      <w:marTop w:val="0"/>
      <w:marBottom w:val="0"/>
      <w:divBdr>
        <w:top w:val="none" w:sz="0" w:space="0" w:color="auto"/>
        <w:left w:val="none" w:sz="0" w:space="0" w:color="auto"/>
        <w:bottom w:val="none" w:sz="0" w:space="0" w:color="auto"/>
        <w:right w:val="none" w:sz="0" w:space="0" w:color="auto"/>
      </w:divBdr>
      <w:divsChild>
        <w:div w:id="253520582">
          <w:marLeft w:val="0"/>
          <w:marRight w:val="0"/>
          <w:marTop w:val="0"/>
          <w:marBottom w:val="360"/>
          <w:divBdr>
            <w:top w:val="none" w:sz="0" w:space="0" w:color="auto"/>
            <w:left w:val="none" w:sz="0" w:space="0" w:color="auto"/>
            <w:bottom w:val="none" w:sz="0" w:space="0" w:color="auto"/>
            <w:right w:val="none" w:sz="0" w:space="0" w:color="auto"/>
          </w:divBdr>
          <w:divsChild>
            <w:div w:id="877283145">
              <w:marLeft w:val="0"/>
              <w:marRight w:val="0"/>
              <w:marTop w:val="0"/>
              <w:marBottom w:val="0"/>
              <w:divBdr>
                <w:top w:val="none" w:sz="0" w:space="0" w:color="auto"/>
                <w:left w:val="none" w:sz="0" w:space="0" w:color="auto"/>
                <w:bottom w:val="none" w:sz="0" w:space="0" w:color="auto"/>
                <w:right w:val="none" w:sz="0" w:space="0" w:color="auto"/>
              </w:divBdr>
              <w:divsChild>
                <w:div w:id="1925265530">
                  <w:marLeft w:val="0"/>
                  <w:marRight w:val="0"/>
                  <w:marTop w:val="0"/>
                  <w:marBottom w:val="0"/>
                  <w:divBdr>
                    <w:top w:val="none" w:sz="0" w:space="0" w:color="auto"/>
                    <w:left w:val="none" w:sz="0" w:space="0" w:color="auto"/>
                    <w:bottom w:val="none" w:sz="0" w:space="0" w:color="auto"/>
                    <w:right w:val="none" w:sz="0" w:space="0" w:color="auto"/>
                  </w:divBdr>
                  <w:divsChild>
                    <w:div w:id="2024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4412">
      <w:bodyDiv w:val="1"/>
      <w:marLeft w:val="0"/>
      <w:marRight w:val="0"/>
      <w:marTop w:val="0"/>
      <w:marBottom w:val="0"/>
      <w:divBdr>
        <w:top w:val="none" w:sz="0" w:space="0" w:color="auto"/>
        <w:left w:val="none" w:sz="0" w:space="0" w:color="auto"/>
        <w:bottom w:val="none" w:sz="0" w:space="0" w:color="auto"/>
        <w:right w:val="none" w:sz="0" w:space="0" w:color="auto"/>
      </w:divBdr>
      <w:divsChild>
        <w:div w:id="1888683444">
          <w:marLeft w:val="0"/>
          <w:marRight w:val="0"/>
          <w:marTop w:val="0"/>
          <w:marBottom w:val="0"/>
          <w:divBdr>
            <w:top w:val="none" w:sz="0" w:space="0" w:color="auto"/>
            <w:left w:val="none" w:sz="0" w:space="0" w:color="auto"/>
            <w:bottom w:val="none" w:sz="0" w:space="0" w:color="auto"/>
            <w:right w:val="none" w:sz="0" w:space="0" w:color="auto"/>
          </w:divBdr>
          <w:divsChild>
            <w:div w:id="2127771211">
              <w:marLeft w:val="0"/>
              <w:marRight w:val="0"/>
              <w:marTop w:val="0"/>
              <w:marBottom w:val="0"/>
              <w:divBdr>
                <w:top w:val="none" w:sz="0" w:space="0" w:color="auto"/>
                <w:left w:val="none" w:sz="0" w:space="0" w:color="auto"/>
                <w:bottom w:val="none" w:sz="0" w:space="0" w:color="auto"/>
                <w:right w:val="none" w:sz="0" w:space="0" w:color="auto"/>
              </w:divBdr>
              <w:divsChild>
                <w:div w:id="1071076648">
                  <w:marLeft w:val="0"/>
                  <w:marRight w:val="0"/>
                  <w:marTop w:val="0"/>
                  <w:marBottom w:val="0"/>
                  <w:divBdr>
                    <w:top w:val="none" w:sz="0" w:space="0" w:color="auto"/>
                    <w:left w:val="none" w:sz="0" w:space="0" w:color="auto"/>
                    <w:bottom w:val="none" w:sz="0" w:space="0" w:color="auto"/>
                    <w:right w:val="none" w:sz="0" w:space="0" w:color="auto"/>
                  </w:divBdr>
                  <w:divsChild>
                    <w:div w:id="894703599">
                      <w:marLeft w:val="-225"/>
                      <w:marRight w:val="-225"/>
                      <w:marTop w:val="0"/>
                      <w:marBottom w:val="0"/>
                      <w:divBdr>
                        <w:top w:val="none" w:sz="0" w:space="0" w:color="auto"/>
                        <w:left w:val="none" w:sz="0" w:space="0" w:color="auto"/>
                        <w:bottom w:val="none" w:sz="0" w:space="0" w:color="auto"/>
                        <w:right w:val="none" w:sz="0" w:space="0" w:color="auto"/>
                      </w:divBdr>
                      <w:divsChild>
                        <w:div w:id="90400136">
                          <w:marLeft w:val="0"/>
                          <w:marRight w:val="0"/>
                          <w:marTop w:val="0"/>
                          <w:marBottom w:val="0"/>
                          <w:divBdr>
                            <w:top w:val="none" w:sz="0" w:space="0" w:color="auto"/>
                            <w:left w:val="none" w:sz="0" w:space="0" w:color="auto"/>
                            <w:bottom w:val="none" w:sz="0" w:space="0" w:color="auto"/>
                            <w:right w:val="single" w:sz="6" w:space="0" w:color="auto"/>
                          </w:divBdr>
                          <w:divsChild>
                            <w:div w:id="2026439283">
                              <w:marLeft w:val="0"/>
                              <w:marRight w:val="0"/>
                              <w:marTop w:val="0"/>
                              <w:marBottom w:val="0"/>
                              <w:divBdr>
                                <w:top w:val="none" w:sz="0" w:space="0" w:color="auto"/>
                                <w:left w:val="none" w:sz="0" w:space="0" w:color="auto"/>
                                <w:bottom w:val="none" w:sz="0" w:space="0" w:color="auto"/>
                                <w:right w:val="none" w:sz="0" w:space="0" w:color="auto"/>
                              </w:divBdr>
                              <w:divsChild>
                                <w:div w:id="270937288">
                                  <w:marLeft w:val="0"/>
                                  <w:marRight w:val="0"/>
                                  <w:marTop w:val="0"/>
                                  <w:marBottom w:val="0"/>
                                  <w:divBdr>
                                    <w:top w:val="none" w:sz="0" w:space="0" w:color="auto"/>
                                    <w:left w:val="none" w:sz="0" w:space="0" w:color="auto"/>
                                    <w:bottom w:val="none" w:sz="0" w:space="0" w:color="auto"/>
                                    <w:right w:val="none" w:sz="0" w:space="0" w:color="auto"/>
                                  </w:divBdr>
                                  <w:divsChild>
                                    <w:div w:id="1657222371">
                                      <w:marLeft w:val="0"/>
                                      <w:marRight w:val="0"/>
                                      <w:marTop w:val="0"/>
                                      <w:marBottom w:val="0"/>
                                      <w:divBdr>
                                        <w:top w:val="none" w:sz="0" w:space="0" w:color="auto"/>
                                        <w:left w:val="none" w:sz="0" w:space="0" w:color="auto"/>
                                        <w:bottom w:val="none" w:sz="0" w:space="0" w:color="auto"/>
                                        <w:right w:val="none" w:sz="0" w:space="0" w:color="auto"/>
                                      </w:divBdr>
                                      <w:divsChild>
                                        <w:div w:id="1132669751">
                                          <w:marLeft w:val="-225"/>
                                          <w:marRight w:val="-225"/>
                                          <w:marTop w:val="0"/>
                                          <w:marBottom w:val="0"/>
                                          <w:divBdr>
                                            <w:top w:val="none" w:sz="0" w:space="0" w:color="auto"/>
                                            <w:left w:val="none" w:sz="0" w:space="0" w:color="auto"/>
                                            <w:bottom w:val="none" w:sz="0" w:space="0" w:color="auto"/>
                                            <w:right w:val="none" w:sz="0" w:space="0" w:color="auto"/>
                                          </w:divBdr>
                                          <w:divsChild>
                                            <w:div w:id="1094396355">
                                              <w:marLeft w:val="0"/>
                                              <w:marRight w:val="0"/>
                                              <w:marTop w:val="0"/>
                                              <w:marBottom w:val="0"/>
                                              <w:divBdr>
                                                <w:top w:val="none" w:sz="0" w:space="0" w:color="auto"/>
                                                <w:left w:val="none" w:sz="0" w:space="0" w:color="auto"/>
                                                <w:bottom w:val="none" w:sz="0" w:space="0" w:color="auto"/>
                                                <w:right w:val="none" w:sz="0" w:space="0" w:color="auto"/>
                                              </w:divBdr>
                                              <w:divsChild>
                                                <w:div w:id="649869638">
                                                  <w:marLeft w:val="0"/>
                                                  <w:marRight w:val="0"/>
                                                  <w:marTop w:val="0"/>
                                                  <w:marBottom w:val="0"/>
                                                  <w:divBdr>
                                                    <w:top w:val="none" w:sz="0" w:space="0" w:color="auto"/>
                                                    <w:left w:val="none" w:sz="0" w:space="0" w:color="auto"/>
                                                    <w:bottom w:val="none" w:sz="0" w:space="0" w:color="auto"/>
                                                    <w:right w:val="none" w:sz="0" w:space="0" w:color="auto"/>
                                                  </w:divBdr>
                                                  <w:divsChild>
                                                    <w:div w:id="885289900">
                                                      <w:marLeft w:val="0"/>
                                                      <w:marRight w:val="0"/>
                                                      <w:marTop w:val="0"/>
                                                      <w:marBottom w:val="0"/>
                                                      <w:divBdr>
                                                        <w:top w:val="none" w:sz="0" w:space="0" w:color="auto"/>
                                                        <w:left w:val="none" w:sz="0" w:space="0" w:color="auto"/>
                                                        <w:bottom w:val="none" w:sz="0" w:space="0" w:color="auto"/>
                                                        <w:right w:val="none" w:sz="0" w:space="0" w:color="auto"/>
                                                      </w:divBdr>
                                                      <w:divsChild>
                                                        <w:div w:id="1313872512">
                                                          <w:marLeft w:val="0"/>
                                                          <w:marRight w:val="0"/>
                                                          <w:marTop w:val="0"/>
                                                          <w:marBottom w:val="0"/>
                                                          <w:divBdr>
                                                            <w:top w:val="none" w:sz="0" w:space="0" w:color="auto"/>
                                                            <w:left w:val="none" w:sz="0" w:space="0" w:color="auto"/>
                                                            <w:bottom w:val="none" w:sz="0" w:space="0" w:color="auto"/>
                                                            <w:right w:val="none" w:sz="0" w:space="0" w:color="auto"/>
                                                          </w:divBdr>
                                                          <w:divsChild>
                                                            <w:div w:id="20052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6479857">
      <w:bodyDiv w:val="1"/>
      <w:marLeft w:val="0"/>
      <w:marRight w:val="0"/>
      <w:marTop w:val="0"/>
      <w:marBottom w:val="0"/>
      <w:divBdr>
        <w:top w:val="none" w:sz="0" w:space="0" w:color="auto"/>
        <w:left w:val="none" w:sz="0" w:space="0" w:color="auto"/>
        <w:bottom w:val="none" w:sz="0" w:space="0" w:color="auto"/>
        <w:right w:val="none" w:sz="0" w:space="0" w:color="auto"/>
      </w:divBdr>
    </w:div>
    <w:div w:id="1687440585">
      <w:bodyDiv w:val="1"/>
      <w:marLeft w:val="0"/>
      <w:marRight w:val="0"/>
      <w:marTop w:val="0"/>
      <w:marBottom w:val="0"/>
      <w:divBdr>
        <w:top w:val="none" w:sz="0" w:space="0" w:color="auto"/>
        <w:left w:val="none" w:sz="0" w:space="0" w:color="auto"/>
        <w:bottom w:val="none" w:sz="0" w:space="0" w:color="auto"/>
        <w:right w:val="none" w:sz="0" w:space="0" w:color="auto"/>
      </w:divBdr>
      <w:divsChild>
        <w:div w:id="803622269">
          <w:marLeft w:val="0"/>
          <w:marRight w:val="0"/>
          <w:marTop w:val="0"/>
          <w:marBottom w:val="0"/>
          <w:divBdr>
            <w:top w:val="none" w:sz="0" w:space="0" w:color="auto"/>
            <w:left w:val="none" w:sz="0" w:space="0" w:color="auto"/>
            <w:bottom w:val="none" w:sz="0" w:space="0" w:color="auto"/>
            <w:right w:val="none" w:sz="0" w:space="0" w:color="auto"/>
          </w:divBdr>
          <w:divsChild>
            <w:div w:id="467628298">
              <w:marLeft w:val="0"/>
              <w:marRight w:val="0"/>
              <w:marTop w:val="0"/>
              <w:marBottom w:val="0"/>
              <w:divBdr>
                <w:top w:val="none" w:sz="0" w:space="0" w:color="auto"/>
                <w:left w:val="none" w:sz="0" w:space="0" w:color="auto"/>
                <w:bottom w:val="none" w:sz="0" w:space="0" w:color="auto"/>
                <w:right w:val="none" w:sz="0" w:space="0" w:color="auto"/>
              </w:divBdr>
              <w:divsChild>
                <w:div w:id="681513375">
                  <w:marLeft w:val="0"/>
                  <w:marRight w:val="0"/>
                  <w:marTop w:val="0"/>
                  <w:marBottom w:val="0"/>
                  <w:divBdr>
                    <w:top w:val="none" w:sz="0" w:space="0" w:color="auto"/>
                    <w:left w:val="none" w:sz="0" w:space="0" w:color="auto"/>
                    <w:bottom w:val="none" w:sz="0" w:space="0" w:color="auto"/>
                    <w:right w:val="none" w:sz="0" w:space="0" w:color="auto"/>
                  </w:divBdr>
                  <w:divsChild>
                    <w:div w:id="369300209">
                      <w:marLeft w:val="-225"/>
                      <w:marRight w:val="-225"/>
                      <w:marTop w:val="0"/>
                      <w:marBottom w:val="0"/>
                      <w:divBdr>
                        <w:top w:val="none" w:sz="0" w:space="0" w:color="auto"/>
                        <w:left w:val="none" w:sz="0" w:space="0" w:color="auto"/>
                        <w:bottom w:val="none" w:sz="0" w:space="0" w:color="auto"/>
                        <w:right w:val="none" w:sz="0" w:space="0" w:color="auto"/>
                      </w:divBdr>
                      <w:divsChild>
                        <w:div w:id="523907967">
                          <w:marLeft w:val="0"/>
                          <w:marRight w:val="0"/>
                          <w:marTop w:val="0"/>
                          <w:marBottom w:val="0"/>
                          <w:divBdr>
                            <w:top w:val="none" w:sz="0" w:space="0" w:color="auto"/>
                            <w:left w:val="none" w:sz="0" w:space="0" w:color="auto"/>
                            <w:bottom w:val="none" w:sz="0" w:space="0" w:color="auto"/>
                            <w:right w:val="single" w:sz="6" w:space="0" w:color="auto"/>
                          </w:divBdr>
                          <w:divsChild>
                            <w:div w:id="931933712">
                              <w:marLeft w:val="0"/>
                              <w:marRight w:val="0"/>
                              <w:marTop w:val="0"/>
                              <w:marBottom w:val="0"/>
                              <w:divBdr>
                                <w:top w:val="none" w:sz="0" w:space="0" w:color="auto"/>
                                <w:left w:val="none" w:sz="0" w:space="0" w:color="auto"/>
                                <w:bottom w:val="none" w:sz="0" w:space="0" w:color="auto"/>
                                <w:right w:val="none" w:sz="0" w:space="0" w:color="auto"/>
                              </w:divBdr>
                              <w:divsChild>
                                <w:div w:id="1516307291">
                                  <w:marLeft w:val="0"/>
                                  <w:marRight w:val="0"/>
                                  <w:marTop w:val="0"/>
                                  <w:marBottom w:val="0"/>
                                  <w:divBdr>
                                    <w:top w:val="none" w:sz="0" w:space="0" w:color="auto"/>
                                    <w:left w:val="none" w:sz="0" w:space="0" w:color="auto"/>
                                    <w:bottom w:val="none" w:sz="0" w:space="0" w:color="auto"/>
                                    <w:right w:val="none" w:sz="0" w:space="0" w:color="auto"/>
                                  </w:divBdr>
                                  <w:divsChild>
                                    <w:div w:id="1909151075">
                                      <w:marLeft w:val="0"/>
                                      <w:marRight w:val="0"/>
                                      <w:marTop w:val="0"/>
                                      <w:marBottom w:val="0"/>
                                      <w:divBdr>
                                        <w:top w:val="none" w:sz="0" w:space="0" w:color="auto"/>
                                        <w:left w:val="none" w:sz="0" w:space="0" w:color="auto"/>
                                        <w:bottom w:val="none" w:sz="0" w:space="0" w:color="auto"/>
                                        <w:right w:val="none" w:sz="0" w:space="0" w:color="auto"/>
                                      </w:divBdr>
                                      <w:divsChild>
                                        <w:div w:id="604846103">
                                          <w:marLeft w:val="-225"/>
                                          <w:marRight w:val="-225"/>
                                          <w:marTop w:val="0"/>
                                          <w:marBottom w:val="0"/>
                                          <w:divBdr>
                                            <w:top w:val="none" w:sz="0" w:space="0" w:color="auto"/>
                                            <w:left w:val="none" w:sz="0" w:space="0" w:color="auto"/>
                                            <w:bottom w:val="none" w:sz="0" w:space="0" w:color="auto"/>
                                            <w:right w:val="none" w:sz="0" w:space="0" w:color="auto"/>
                                          </w:divBdr>
                                          <w:divsChild>
                                            <w:div w:id="46074051">
                                              <w:marLeft w:val="0"/>
                                              <w:marRight w:val="0"/>
                                              <w:marTop w:val="0"/>
                                              <w:marBottom w:val="0"/>
                                              <w:divBdr>
                                                <w:top w:val="none" w:sz="0" w:space="0" w:color="auto"/>
                                                <w:left w:val="none" w:sz="0" w:space="0" w:color="auto"/>
                                                <w:bottom w:val="none" w:sz="0" w:space="0" w:color="auto"/>
                                                <w:right w:val="none" w:sz="0" w:space="0" w:color="auto"/>
                                              </w:divBdr>
                                              <w:divsChild>
                                                <w:div w:id="401102330">
                                                  <w:marLeft w:val="0"/>
                                                  <w:marRight w:val="0"/>
                                                  <w:marTop w:val="0"/>
                                                  <w:marBottom w:val="0"/>
                                                  <w:divBdr>
                                                    <w:top w:val="none" w:sz="0" w:space="0" w:color="auto"/>
                                                    <w:left w:val="none" w:sz="0" w:space="0" w:color="auto"/>
                                                    <w:bottom w:val="none" w:sz="0" w:space="0" w:color="auto"/>
                                                    <w:right w:val="none" w:sz="0" w:space="0" w:color="auto"/>
                                                  </w:divBdr>
                                                  <w:divsChild>
                                                    <w:div w:id="789739225">
                                                      <w:marLeft w:val="0"/>
                                                      <w:marRight w:val="0"/>
                                                      <w:marTop w:val="0"/>
                                                      <w:marBottom w:val="0"/>
                                                      <w:divBdr>
                                                        <w:top w:val="none" w:sz="0" w:space="0" w:color="auto"/>
                                                        <w:left w:val="none" w:sz="0" w:space="0" w:color="auto"/>
                                                        <w:bottom w:val="none" w:sz="0" w:space="0" w:color="auto"/>
                                                        <w:right w:val="none" w:sz="0" w:space="0" w:color="auto"/>
                                                      </w:divBdr>
                                                      <w:divsChild>
                                                        <w:div w:id="1241797242">
                                                          <w:marLeft w:val="0"/>
                                                          <w:marRight w:val="0"/>
                                                          <w:marTop w:val="0"/>
                                                          <w:marBottom w:val="0"/>
                                                          <w:divBdr>
                                                            <w:top w:val="none" w:sz="0" w:space="0" w:color="auto"/>
                                                            <w:left w:val="none" w:sz="0" w:space="0" w:color="auto"/>
                                                            <w:bottom w:val="none" w:sz="0" w:space="0" w:color="auto"/>
                                                            <w:right w:val="none" w:sz="0" w:space="0" w:color="auto"/>
                                                          </w:divBdr>
                                                          <w:divsChild>
                                                            <w:div w:id="456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8297259">
      <w:bodyDiv w:val="1"/>
      <w:marLeft w:val="0"/>
      <w:marRight w:val="0"/>
      <w:marTop w:val="0"/>
      <w:marBottom w:val="0"/>
      <w:divBdr>
        <w:top w:val="none" w:sz="0" w:space="0" w:color="auto"/>
        <w:left w:val="none" w:sz="0" w:space="0" w:color="auto"/>
        <w:bottom w:val="none" w:sz="0" w:space="0" w:color="auto"/>
        <w:right w:val="none" w:sz="0" w:space="0" w:color="auto"/>
      </w:divBdr>
      <w:divsChild>
        <w:div w:id="950285862">
          <w:marLeft w:val="0"/>
          <w:marRight w:val="0"/>
          <w:marTop w:val="0"/>
          <w:marBottom w:val="0"/>
          <w:divBdr>
            <w:top w:val="none" w:sz="0" w:space="0" w:color="auto"/>
            <w:left w:val="none" w:sz="0" w:space="0" w:color="auto"/>
            <w:bottom w:val="none" w:sz="0" w:space="0" w:color="auto"/>
            <w:right w:val="none" w:sz="0" w:space="0" w:color="auto"/>
          </w:divBdr>
          <w:divsChild>
            <w:div w:id="1637099414">
              <w:marLeft w:val="0"/>
              <w:marRight w:val="0"/>
              <w:marTop w:val="0"/>
              <w:marBottom w:val="0"/>
              <w:divBdr>
                <w:top w:val="none" w:sz="0" w:space="0" w:color="auto"/>
                <w:left w:val="none" w:sz="0" w:space="0" w:color="auto"/>
                <w:bottom w:val="none" w:sz="0" w:space="0" w:color="auto"/>
                <w:right w:val="none" w:sz="0" w:space="0" w:color="auto"/>
              </w:divBdr>
              <w:divsChild>
                <w:div w:id="2013490576">
                  <w:marLeft w:val="0"/>
                  <w:marRight w:val="0"/>
                  <w:marTop w:val="0"/>
                  <w:marBottom w:val="0"/>
                  <w:divBdr>
                    <w:top w:val="none" w:sz="0" w:space="0" w:color="auto"/>
                    <w:left w:val="none" w:sz="0" w:space="0" w:color="auto"/>
                    <w:bottom w:val="none" w:sz="0" w:space="0" w:color="auto"/>
                    <w:right w:val="none" w:sz="0" w:space="0" w:color="auto"/>
                  </w:divBdr>
                  <w:divsChild>
                    <w:div w:id="893272705">
                      <w:marLeft w:val="0"/>
                      <w:marRight w:val="0"/>
                      <w:marTop w:val="0"/>
                      <w:marBottom w:val="0"/>
                      <w:divBdr>
                        <w:top w:val="none" w:sz="0" w:space="0" w:color="auto"/>
                        <w:left w:val="none" w:sz="0" w:space="0" w:color="auto"/>
                        <w:bottom w:val="none" w:sz="0" w:space="0" w:color="auto"/>
                        <w:right w:val="none" w:sz="0" w:space="0" w:color="auto"/>
                      </w:divBdr>
                      <w:divsChild>
                        <w:div w:id="917980266">
                          <w:marLeft w:val="0"/>
                          <w:marRight w:val="0"/>
                          <w:marTop w:val="0"/>
                          <w:marBottom w:val="0"/>
                          <w:divBdr>
                            <w:top w:val="none" w:sz="0" w:space="0" w:color="auto"/>
                            <w:left w:val="none" w:sz="0" w:space="0" w:color="auto"/>
                            <w:bottom w:val="none" w:sz="0" w:space="0" w:color="auto"/>
                            <w:right w:val="none" w:sz="0" w:space="0" w:color="auto"/>
                          </w:divBdr>
                          <w:divsChild>
                            <w:div w:id="1050501018">
                              <w:marLeft w:val="0"/>
                              <w:marRight w:val="0"/>
                              <w:marTop w:val="0"/>
                              <w:marBottom w:val="0"/>
                              <w:divBdr>
                                <w:top w:val="none" w:sz="0" w:space="0" w:color="auto"/>
                                <w:left w:val="none" w:sz="0" w:space="0" w:color="auto"/>
                                <w:bottom w:val="none" w:sz="0" w:space="0" w:color="auto"/>
                                <w:right w:val="none" w:sz="0" w:space="0" w:color="auto"/>
                              </w:divBdr>
                              <w:divsChild>
                                <w:div w:id="13276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D9D35-D677-4253-A9C8-34A1868FD8DB}" type="doc">
      <dgm:prSet loTypeId="urn:microsoft.com/office/officeart/2005/8/layout/hProcess9" loCatId="process" qsTypeId="urn:microsoft.com/office/officeart/2005/8/quickstyle/simple1" qsCatId="simple" csTypeId="urn:microsoft.com/office/officeart/2005/8/colors/accent1_2" csCatId="accent1" phldr="1"/>
      <dgm:spPr/>
    </dgm:pt>
    <dgm:pt modelId="{E355B1BB-8F44-4FDC-9EE7-9FC1F6A56B08}">
      <dgm:prSet phldrT="[Texte]" custT="1"/>
      <dgm:spPr/>
      <dgm:t>
        <a:bodyPr/>
        <a:lstStyle/>
        <a:p>
          <a:r>
            <a:rPr lang="fr-FR" sz="1200">
              <a:latin typeface="Century Gothic" panose="020B0502020202020204" pitchFamily="34" charset="0"/>
            </a:rPr>
            <a:t>Période d'acquisition</a:t>
          </a:r>
        </a:p>
      </dgm:t>
    </dgm:pt>
    <dgm:pt modelId="{C61E13CD-11AC-4EEA-8D69-EFFB93630D64}" type="parTrans" cxnId="{9EBBFB62-6459-4F5E-8476-9C30CCEC3E6C}">
      <dgm:prSet/>
      <dgm:spPr/>
      <dgm:t>
        <a:bodyPr/>
        <a:lstStyle/>
        <a:p>
          <a:endParaRPr lang="fr-FR" sz="1200">
            <a:latin typeface="Century Gothic" panose="020B0502020202020204" pitchFamily="34" charset="0"/>
          </a:endParaRPr>
        </a:p>
      </dgm:t>
    </dgm:pt>
    <dgm:pt modelId="{66635511-5FD5-4238-B84B-80C48B4C10CD}" type="sibTrans" cxnId="{9EBBFB62-6459-4F5E-8476-9C30CCEC3E6C}">
      <dgm:prSet/>
      <dgm:spPr/>
      <dgm:t>
        <a:bodyPr/>
        <a:lstStyle/>
        <a:p>
          <a:endParaRPr lang="fr-FR" sz="1200">
            <a:latin typeface="Century Gothic" panose="020B0502020202020204" pitchFamily="34" charset="0"/>
          </a:endParaRPr>
        </a:p>
      </dgm:t>
    </dgm:pt>
    <dgm:pt modelId="{5EE1E7C9-EDE5-41D2-8DF9-4B6B10370E60}">
      <dgm:prSet phldrT="[Texte]" custT="1"/>
      <dgm:spPr/>
      <dgm:t>
        <a:bodyPr/>
        <a:lstStyle/>
        <a:p>
          <a:r>
            <a:rPr lang="fr-FR" sz="1200">
              <a:latin typeface="Century Gothic" panose="020B0502020202020204" pitchFamily="34" charset="0"/>
            </a:rPr>
            <a:t>Période de conservation</a:t>
          </a:r>
        </a:p>
      </dgm:t>
    </dgm:pt>
    <dgm:pt modelId="{9183C96D-D80B-4269-95D2-E612D55B6F94}" type="parTrans" cxnId="{EF2CA7BB-9FC2-41B4-B511-AFB4C935B582}">
      <dgm:prSet/>
      <dgm:spPr/>
      <dgm:t>
        <a:bodyPr/>
        <a:lstStyle/>
        <a:p>
          <a:endParaRPr lang="fr-FR" sz="1200">
            <a:latin typeface="Century Gothic" panose="020B0502020202020204" pitchFamily="34" charset="0"/>
          </a:endParaRPr>
        </a:p>
      </dgm:t>
    </dgm:pt>
    <dgm:pt modelId="{67091474-86DD-4DAC-8EE2-94AB17D29AE9}" type="sibTrans" cxnId="{EF2CA7BB-9FC2-41B4-B511-AFB4C935B582}">
      <dgm:prSet/>
      <dgm:spPr/>
      <dgm:t>
        <a:bodyPr/>
        <a:lstStyle/>
        <a:p>
          <a:endParaRPr lang="fr-FR" sz="1200">
            <a:latin typeface="Century Gothic" panose="020B0502020202020204" pitchFamily="34" charset="0"/>
          </a:endParaRPr>
        </a:p>
      </dgm:t>
    </dgm:pt>
    <dgm:pt modelId="{E70CF45C-E9D3-4BFA-BD32-B4870A72A841}" type="pres">
      <dgm:prSet presAssocID="{AA9D9D35-D677-4253-A9C8-34A1868FD8DB}" presName="CompostProcess" presStyleCnt="0">
        <dgm:presLayoutVars>
          <dgm:dir/>
          <dgm:resizeHandles val="exact"/>
        </dgm:presLayoutVars>
      </dgm:prSet>
      <dgm:spPr/>
    </dgm:pt>
    <dgm:pt modelId="{994D1AB4-4475-438F-B94C-5E727ACB0BED}" type="pres">
      <dgm:prSet presAssocID="{AA9D9D35-D677-4253-A9C8-34A1868FD8DB}" presName="arrow" presStyleLbl="bgShp" presStyleIdx="0" presStyleCnt="1"/>
      <dgm:spPr/>
    </dgm:pt>
    <dgm:pt modelId="{EB1237B4-ED06-4C7A-ADB0-91E9CBC9FE7D}" type="pres">
      <dgm:prSet presAssocID="{AA9D9D35-D677-4253-A9C8-34A1868FD8DB}" presName="linearProcess" presStyleCnt="0"/>
      <dgm:spPr/>
    </dgm:pt>
    <dgm:pt modelId="{401251E7-9200-487C-BBA0-208868912CE2}" type="pres">
      <dgm:prSet presAssocID="{E355B1BB-8F44-4FDC-9EE7-9FC1F6A56B08}" presName="textNode" presStyleLbl="node1" presStyleIdx="0" presStyleCnt="2" custScaleX="83051">
        <dgm:presLayoutVars>
          <dgm:bulletEnabled val="1"/>
        </dgm:presLayoutVars>
      </dgm:prSet>
      <dgm:spPr/>
      <dgm:t>
        <a:bodyPr/>
        <a:lstStyle/>
        <a:p>
          <a:endParaRPr lang="fr-FR"/>
        </a:p>
      </dgm:t>
    </dgm:pt>
    <dgm:pt modelId="{49C53BC4-1C94-4B38-B3DF-16A1DC565313}" type="pres">
      <dgm:prSet presAssocID="{66635511-5FD5-4238-B84B-80C48B4C10CD}" presName="sibTrans" presStyleCnt="0"/>
      <dgm:spPr/>
    </dgm:pt>
    <dgm:pt modelId="{C86EDEAE-17FA-4615-83EE-511465370EE5}" type="pres">
      <dgm:prSet presAssocID="{5EE1E7C9-EDE5-41D2-8DF9-4B6B10370E60}" presName="textNode" presStyleLbl="node1" presStyleIdx="1" presStyleCnt="2" custScaleX="86671" custLinFactNeighborX="-72917" custLinFactNeighborY="0">
        <dgm:presLayoutVars>
          <dgm:bulletEnabled val="1"/>
        </dgm:presLayoutVars>
      </dgm:prSet>
      <dgm:spPr/>
      <dgm:t>
        <a:bodyPr/>
        <a:lstStyle/>
        <a:p>
          <a:endParaRPr lang="fr-FR"/>
        </a:p>
      </dgm:t>
    </dgm:pt>
  </dgm:ptLst>
  <dgm:cxnLst>
    <dgm:cxn modelId="{1037BE4B-0780-4420-A9E9-A38F1CDEA7AE}" type="presOf" srcId="{AA9D9D35-D677-4253-A9C8-34A1868FD8DB}" destId="{E70CF45C-E9D3-4BFA-BD32-B4870A72A841}" srcOrd="0" destOrd="0" presId="urn:microsoft.com/office/officeart/2005/8/layout/hProcess9"/>
    <dgm:cxn modelId="{8048C1EF-FB59-4413-A0AD-C53954ED3345}" type="presOf" srcId="{5EE1E7C9-EDE5-41D2-8DF9-4B6B10370E60}" destId="{C86EDEAE-17FA-4615-83EE-511465370EE5}" srcOrd="0" destOrd="0" presId="urn:microsoft.com/office/officeart/2005/8/layout/hProcess9"/>
    <dgm:cxn modelId="{9EBBFB62-6459-4F5E-8476-9C30CCEC3E6C}" srcId="{AA9D9D35-D677-4253-A9C8-34A1868FD8DB}" destId="{E355B1BB-8F44-4FDC-9EE7-9FC1F6A56B08}" srcOrd="0" destOrd="0" parTransId="{C61E13CD-11AC-4EEA-8D69-EFFB93630D64}" sibTransId="{66635511-5FD5-4238-B84B-80C48B4C10CD}"/>
    <dgm:cxn modelId="{EF2CA7BB-9FC2-41B4-B511-AFB4C935B582}" srcId="{AA9D9D35-D677-4253-A9C8-34A1868FD8DB}" destId="{5EE1E7C9-EDE5-41D2-8DF9-4B6B10370E60}" srcOrd="1" destOrd="0" parTransId="{9183C96D-D80B-4269-95D2-E612D55B6F94}" sibTransId="{67091474-86DD-4DAC-8EE2-94AB17D29AE9}"/>
    <dgm:cxn modelId="{55811DB8-BA40-4A19-B0B6-5284482613BC}" type="presOf" srcId="{E355B1BB-8F44-4FDC-9EE7-9FC1F6A56B08}" destId="{401251E7-9200-487C-BBA0-208868912CE2}" srcOrd="0" destOrd="0" presId="urn:microsoft.com/office/officeart/2005/8/layout/hProcess9"/>
    <dgm:cxn modelId="{D2707D74-A0C2-484A-99CB-0705786361A1}" type="presParOf" srcId="{E70CF45C-E9D3-4BFA-BD32-B4870A72A841}" destId="{994D1AB4-4475-438F-B94C-5E727ACB0BED}" srcOrd="0" destOrd="0" presId="urn:microsoft.com/office/officeart/2005/8/layout/hProcess9"/>
    <dgm:cxn modelId="{E87FC489-AEF3-4E98-BE0C-AC55A8CEF71D}" type="presParOf" srcId="{E70CF45C-E9D3-4BFA-BD32-B4870A72A841}" destId="{EB1237B4-ED06-4C7A-ADB0-91E9CBC9FE7D}" srcOrd="1" destOrd="0" presId="urn:microsoft.com/office/officeart/2005/8/layout/hProcess9"/>
    <dgm:cxn modelId="{2215638A-2BE4-48E7-90EC-0B12993BE63D}" type="presParOf" srcId="{EB1237B4-ED06-4C7A-ADB0-91E9CBC9FE7D}" destId="{401251E7-9200-487C-BBA0-208868912CE2}" srcOrd="0" destOrd="0" presId="urn:microsoft.com/office/officeart/2005/8/layout/hProcess9"/>
    <dgm:cxn modelId="{28E5FFBF-E2B9-4F04-86A7-955E36CD16AC}" type="presParOf" srcId="{EB1237B4-ED06-4C7A-ADB0-91E9CBC9FE7D}" destId="{49C53BC4-1C94-4B38-B3DF-16A1DC565313}" srcOrd="1" destOrd="0" presId="urn:microsoft.com/office/officeart/2005/8/layout/hProcess9"/>
    <dgm:cxn modelId="{BD67CC25-25EB-4C60-98BC-BBF592F1A7C7}" type="presParOf" srcId="{EB1237B4-ED06-4C7A-ADB0-91E9CBC9FE7D}" destId="{C86EDEAE-17FA-4615-83EE-511465370EE5}" srcOrd="2"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4D1AB4-4475-438F-B94C-5E727ACB0BED}">
      <dsp:nvSpPr>
        <dsp:cNvPr id="0" name=""/>
        <dsp:cNvSpPr/>
      </dsp:nvSpPr>
      <dsp:spPr>
        <a:xfrm>
          <a:off x="411479" y="0"/>
          <a:ext cx="4663440" cy="9239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01251E7-9200-487C-BBA0-208868912CE2}">
      <dsp:nvSpPr>
        <dsp:cNvPr id="0" name=""/>
        <dsp:cNvSpPr/>
      </dsp:nvSpPr>
      <dsp:spPr>
        <a:xfrm>
          <a:off x="641214" y="277177"/>
          <a:ext cx="1922917" cy="369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latin typeface="Century Gothic" panose="020B0502020202020204" pitchFamily="34" charset="0"/>
            </a:rPr>
            <a:t>Période d'acquisition</a:t>
          </a:r>
        </a:p>
      </dsp:txBody>
      <dsp:txXfrm>
        <a:off x="659255" y="295218"/>
        <a:ext cx="1886835" cy="333488"/>
      </dsp:txXfrm>
    </dsp:sp>
    <dsp:sp modelId="{C86EDEAE-17FA-4615-83EE-511465370EE5}">
      <dsp:nvSpPr>
        <dsp:cNvPr id="0" name=""/>
        <dsp:cNvSpPr/>
      </dsp:nvSpPr>
      <dsp:spPr>
        <a:xfrm>
          <a:off x="2638426" y="277177"/>
          <a:ext cx="2006733" cy="3695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FR" sz="1200" kern="1200">
              <a:latin typeface="Century Gothic" panose="020B0502020202020204" pitchFamily="34" charset="0"/>
            </a:rPr>
            <a:t>Période de conservation</a:t>
          </a:r>
        </a:p>
      </dsp:txBody>
      <dsp:txXfrm>
        <a:off x="2656467" y="295218"/>
        <a:ext cx="1970651" cy="3334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1A12-78F2-43A3-9F88-F56D9388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3510</Words>
  <Characters>19309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CASTINEIRAS Laura</dc:creator>
  <cp:keywords/>
  <dc:description/>
  <cp:lastModifiedBy>Jean-François TARDIVEAU</cp:lastModifiedBy>
  <cp:revision>2</cp:revision>
  <cp:lastPrinted>2017-04-26T14:03:00Z</cp:lastPrinted>
  <dcterms:created xsi:type="dcterms:W3CDTF">2018-01-03T14:38:00Z</dcterms:created>
  <dcterms:modified xsi:type="dcterms:W3CDTF">2018-01-03T14:38:00Z</dcterms:modified>
</cp:coreProperties>
</file>