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F42" w:rsidRDefault="00E43F42" w:rsidP="00CF098A">
      <w:r>
        <w:t>L’owner buy out immobilier ou</w:t>
      </w:r>
      <w:r w:rsidRPr="00E43F42">
        <w:t xml:space="preserve"> la quadrature du cercle ?</w:t>
      </w:r>
    </w:p>
    <w:p w:rsidR="00E43F42" w:rsidRDefault="00E43F42" w:rsidP="00CF098A"/>
    <w:p w:rsidR="00CF098A" w:rsidRPr="00152818" w:rsidRDefault="00CF098A" w:rsidP="00CF098A">
      <w:r w:rsidRPr="00152818">
        <w:t xml:space="preserve">Pour les patrimoines importants, détenir de l'immobilier devient de moins en moins attractif sous l’effet conjugué de l’impôt sur la fortune immobilière (IFI) et d’une imposition des revenus fonciers qui est très élevée par rapport à une flat tax </w:t>
      </w:r>
      <w:r w:rsidR="00E43F42" w:rsidRPr="00152818">
        <w:t xml:space="preserve">de 30 % applicable aux revenus de capitaux mobiliers. </w:t>
      </w:r>
      <w:r w:rsidRPr="00152818">
        <w:t xml:space="preserve">La tentation est donc grande pour certains </w:t>
      </w:r>
      <w:r w:rsidR="00E43F42" w:rsidRPr="00152818">
        <w:t xml:space="preserve">propriétaires </w:t>
      </w:r>
      <w:r w:rsidRPr="00152818">
        <w:t xml:space="preserve">de céder leur patrimoine immobilier. Mais </w:t>
      </w:r>
      <w:r w:rsidR="00512EC8" w:rsidRPr="00152818">
        <w:t>comment r</w:t>
      </w:r>
      <w:r w:rsidR="00E43F42" w:rsidRPr="00152818">
        <w:t>employer les sommes issues de la cession</w:t>
      </w:r>
      <w:r w:rsidRPr="00152818">
        <w:t xml:space="preserve">, dans un contexte où les rendements financiers sont bas </w:t>
      </w:r>
      <w:r w:rsidR="00E43F42" w:rsidRPr="00152818">
        <w:t>- en raison des faibles taux d'intérêts -</w:t>
      </w:r>
      <w:r w:rsidRPr="00152818">
        <w:t xml:space="preserve">, </w:t>
      </w:r>
      <w:r w:rsidR="00E43F42" w:rsidRPr="00152818">
        <w:t xml:space="preserve">bien qu’une certaine </w:t>
      </w:r>
      <w:r w:rsidRPr="00152818">
        <w:t xml:space="preserve">remontée </w:t>
      </w:r>
      <w:r w:rsidR="00E43F42" w:rsidRPr="00152818">
        <w:t>soit a</w:t>
      </w:r>
      <w:r w:rsidRPr="00152818">
        <w:t xml:space="preserve">morcée ? Par ailleurs les projets de placement dans l’investissement dit « productif » restent trop peu nombreux et </w:t>
      </w:r>
      <w:r w:rsidR="00E43F42" w:rsidRPr="00152818">
        <w:t xml:space="preserve">ceux qui </w:t>
      </w:r>
      <w:r w:rsidRPr="00152818">
        <w:t>offrent des perspectives</w:t>
      </w:r>
      <w:r w:rsidR="00E43F42" w:rsidRPr="00152818">
        <w:t xml:space="preserve"> de rendement intéressantes </w:t>
      </w:r>
      <w:r w:rsidRPr="00152818">
        <w:t xml:space="preserve">présentent </w:t>
      </w:r>
      <w:r w:rsidR="00E43F42" w:rsidRPr="00152818">
        <w:t xml:space="preserve">corrélativement </w:t>
      </w:r>
      <w:r w:rsidRPr="00152818">
        <w:t>des risques de perte en capital</w:t>
      </w:r>
      <w:r w:rsidR="00E43F42" w:rsidRPr="00152818">
        <w:t xml:space="preserve"> souvent élevés</w:t>
      </w:r>
      <w:r w:rsidRPr="00152818">
        <w:t>.</w:t>
      </w:r>
    </w:p>
    <w:p w:rsidR="00710C6C" w:rsidRPr="00152818" w:rsidRDefault="00E43F42" w:rsidP="00710C6C">
      <w:r w:rsidRPr="00152818">
        <w:rPr>
          <w:b/>
        </w:rPr>
        <w:t>Avantage de l’immobilier.</w:t>
      </w:r>
      <w:r w:rsidRPr="00152818">
        <w:t xml:space="preserve"> </w:t>
      </w:r>
      <w:r w:rsidR="00CF098A" w:rsidRPr="00152818">
        <w:t xml:space="preserve">Force est de constater qu'en dépit d’une fiscalité élevée, le placement immobilier peut rester un </w:t>
      </w:r>
      <w:r w:rsidRPr="00152818">
        <w:t>investissement</w:t>
      </w:r>
      <w:r w:rsidR="00CF098A" w:rsidRPr="00152818">
        <w:t xml:space="preserve"> intelligent et pertinent : la population augmente et l’immobilier </w:t>
      </w:r>
      <w:r w:rsidR="00C248D5" w:rsidRPr="00152818">
        <w:t xml:space="preserve">de rapport </w:t>
      </w:r>
      <w:r w:rsidR="00CF098A" w:rsidRPr="00152818">
        <w:t>répond à une valeur d’usage (habitation ou entreprise) qui sur le long terme ne peut être que gagnant</w:t>
      </w:r>
      <w:r w:rsidR="00710C6C" w:rsidRPr="00152818">
        <w:t xml:space="preserve">e. Ce jugement </w:t>
      </w:r>
      <w:r w:rsidR="009B5FEE" w:rsidRPr="00152818">
        <w:t xml:space="preserve">est </w:t>
      </w:r>
      <w:r w:rsidR="00710C6C" w:rsidRPr="00152818">
        <w:t>à nuancer bien entendu en fonction de l'emplacement et de la nature de l'actif.</w:t>
      </w:r>
      <w:r w:rsidR="009B5FEE" w:rsidRPr="00152818">
        <w:t xml:space="preserve"> Dès lors il faut </w:t>
      </w:r>
      <w:r w:rsidR="00C248D5" w:rsidRPr="00152818">
        <w:t xml:space="preserve">optimiser </w:t>
      </w:r>
      <w:r w:rsidR="009B5FEE" w:rsidRPr="00152818">
        <w:t xml:space="preserve">le mode de détention du bien afin </w:t>
      </w:r>
      <w:r w:rsidR="00C248D5" w:rsidRPr="00152818">
        <w:t>de réduire la pression fiscale – qui s’exerce sur les revenus comme sur le capital - et anticiper s</w:t>
      </w:r>
      <w:r w:rsidR="009B5FEE" w:rsidRPr="00152818">
        <w:t xml:space="preserve">a transmission. </w:t>
      </w:r>
    </w:p>
    <w:p w:rsidR="00CF098A" w:rsidRDefault="00B8746F" w:rsidP="00CF098A">
      <w:r w:rsidRPr="00152818">
        <w:rPr>
          <w:b/>
        </w:rPr>
        <w:t>Illustration.</w:t>
      </w:r>
      <w:r w:rsidRPr="00152818">
        <w:t xml:space="preserve"> </w:t>
      </w:r>
      <w:r w:rsidR="00CF098A" w:rsidRPr="00152818">
        <w:t xml:space="preserve">Prenons l’exemple d’un couple qui détient un immeuble acquis il </w:t>
      </w:r>
      <w:r w:rsidRPr="00152818">
        <w:t xml:space="preserve">y a 15 ans pour une valeur de 2 500 000 euros, </w:t>
      </w:r>
      <w:r w:rsidR="00CF098A" w:rsidRPr="00152818">
        <w:t xml:space="preserve">aujourd’hui </w:t>
      </w:r>
      <w:r w:rsidRPr="00152818">
        <w:t xml:space="preserve">valorisé à 4 000 </w:t>
      </w:r>
      <w:r w:rsidR="00CF098A" w:rsidRPr="00152818">
        <w:t xml:space="preserve">000 euros. </w:t>
      </w:r>
      <w:r w:rsidRPr="00152818">
        <w:t xml:space="preserve">Les revenus annuels sont de 200 </w:t>
      </w:r>
      <w:r w:rsidR="00CF098A" w:rsidRPr="00152818">
        <w:t>000 euros e</w:t>
      </w:r>
      <w:r w:rsidRPr="00152818">
        <w:t>t le</w:t>
      </w:r>
      <w:r w:rsidR="00CF098A" w:rsidRPr="00152818">
        <w:t xml:space="preserve"> prêt </w:t>
      </w:r>
      <w:r w:rsidRPr="00152818">
        <w:t xml:space="preserve">ayant servi à l’acquisition </w:t>
      </w:r>
      <w:r w:rsidR="00CF098A" w:rsidRPr="00152818">
        <w:t>est totalement remboursé.</w:t>
      </w:r>
      <w:r w:rsidRPr="00152818">
        <w:t xml:space="preserve"> </w:t>
      </w:r>
    </w:p>
    <w:p w:rsidR="00B8746F" w:rsidRPr="00B8746F" w:rsidRDefault="00D1723B" w:rsidP="00A80880">
      <w:pPr>
        <w:pStyle w:val="Titre1"/>
        <w:jc w:val="center"/>
      </w:pPr>
      <w:r>
        <w:t>FISCALITE RELATIVE</w:t>
      </w:r>
      <w:r w:rsidR="006A5014">
        <w:t xml:space="preserve"> A LA DE</w:t>
      </w:r>
      <w:r w:rsidR="00B8746F" w:rsidRPr="00B8746F">
        <w:t>TE</w:t>
      </w:r>
      <w:r w:rsidR="006A5014">
        <w:t>N</w:t>
      </w:r>
      <w:r w:rsidR="00B8746F" w:rsidRPr="00B8746F">
        <w:t>TION DIRECTE DE L’IMMEUBLE</w:t>
      </w:r>
    </w:p>
    <w:p w:rsidR="00CF098A" w:rsidRPr="00CF098A" w:rsidRDefault="00CF098A" w:rsidP="00337A44">
      <w:r w:rsidRPr="00CF098A">
        <w:rPr>
          <w:b/>
          <w:bCs/>
        </w:rPr>
        <w:t>I</w:t>
      </w:r>
      <w:r w:rsidR="00B8746F">
        <w:rPr>
          <w:b/>
          <w:bCs/>
        </w:rPr>
        <w:t xml:space="preserve">mpôt sur la Fortune Immobilière. </w:t>
      </w:r>
      <w:r w:rsidR="00337A44" w:rsidRPr="00CF098A">
        <w:t>Pour rappel, l'IFI est dû p</w:t>
      </w:r>
      <w:r w:rsidR="00337A44">
        <w:t>a</w:t>
      </w:r>
      <w:r w:rsidR="00337A44" w:rsidRPr="00CF098A">
        <w:t xml:space="preserve">r tous les </w:t>
      </w:r>
      <w:r w:rsidR="00337A44">
        <w:t>contribuables dont le patrimoine immobilier</w:t>
      </w:r>
      <w:r w:rsidR="00337A44" w:rsidRPr="00CF098A">
        <w:t xml:space="preserve"> </w:t>
      </w:r>
      <w:r w:rsidR="00337A44">
        <w:t xml:space="preserve">net dépasse 1 300 </w:t>
      </w:r>
      <w:r w:rsidR="00337A44" w:rsidRPr="00CF098A">
        <w:t>000 euros</w:t>
      </w:r>
      <w:r w:rsidR="00337A44">
        <w:t xml:space="preserve">. </w:t>
      </w:r>
      <w:r w:rsidR="006A5014">
        <w:rPr>
          <w:bCs/>
        </w:rPr>
        <w:t>En supposant</w:t>
      </w:r>
      <w:r w:rsidRPr="00CF098A">
        <w:t xml:space="preserve"> que le foyer fiscal détient par ailleurs d’autres biens immobiliers, le </w:t>
      </w:r>
      <w:r w:rsidR="00680B2A">
        <w:t>barème</w:t>
      </w:r>
      <w:r w:rsidRPr="00CF098A">
        <w:t xml:space="preserve"> </w:t>
      </w:r>
      <w:r w:rsidR="00C56ABA">
        <w:t xml:space="preserve">marginal </w:t>
      </w:r>
      <w:r w:rsidRPr="00CF098A">
        <w:t xml:space="preserve">de l'IFI peut potentiellement varier entre 1,25 % </w:t>
      </w:r>
      <w:r w:rsidR="00C56ABA">
        <w:t xml:space="preserve">(pour les patrimoines </w:t>
      </w:r>
      <w:r w:rsidR="008416D5">
        <w:t xml:space="preserve">nets </w:t>
      </w:r>
      <w:r w:rsidR="00C56ABA">
        <w:t xml:space="preserve">compris entre 5 000 001 et 10 000 000 d’euros - voire </w:t>
      </w:r>
      <w:r w:rsidRPr="00CF098A">
        <w:t xml:space="preserve">1,5 % </w:t>
      </w:r>
      <w:r w:rsidR="00C56ABA">
        <w:t xml:space="preserve">au-delà. </w:t>
      </w:r>
      <w:r w:rsidR="008416D5">
        <w:t>Pour un bien évalué à 400 000 euros cela représente une imposition marginale de 50 000 eur</w:t>
      </w:r>
      <w:r w:rsidR="00337A44">
        <w:t>os en application du taux de 1,25 % ou 60 000 euros pour la tranche à 1,50 %.</w:t>
      </w:r>
    </w:p>
    <w:p w:rsidR="00CF098A" w:rsidRDefault="00464E01" w:rsidP="00CF098A">
      <w:r w:rsidRPr="00152818">
        <w:rPr>
          <w:b/>
          <w:bCs/>
        </w:rPr>
        <w:t>Fiscalité des</w:t>
      </w:r>
      <w:r w:rsidR="00CF098A" w:rsidRPr="00152818">
        <w:rPr>
          <w:b/>
          <w:bCs/>
        </w:rPr>
        <w:t xml:space="preserve"> revenus fonciers</w:t>
      </w:r>
      <w:r w:rsidR="00337A44" w:rsidRPr="00152818">
        <w:rPr>
          <w:b/>
          <w:bCs/>
        </w:rPr>
        <w:t xml:space="preserve">. </w:t>
      </w:r>
      <w:r w:rsidRPr="00152818">
        <w:t xml:space="preserve">Par hypothèse nous retiendrons que les revenus fonciers des contribuables sont imposés dans la plus haute tranche du barème progressif de l’impôt sur le </w:t>
      </w:r>
      <w:r w:rsidRPr="00152818">
        <w:lastRenderedPageBreak/>
        <w:t xml:space="preserve">revenu, soit </w:t>
      </w:r>
      <w:r w:rsidR="00591D6C" w:rsidRPr="00152818">
        <w:t xml:space="preserve">45 %, auquel </w:t>
      </w:r>
      <w:r w:rsidR="00CF098A" w:rsidRPr="00152818">
        <w:t>il faut ajouter les prélèvements sociaux d’un montant de 17,2</w:t>
      </w:r>
      <w:r w:rsidR="00680B2A" w:rsidRPr="00152818">
        <w:t>0 %</w:t>
      </w:r>
      <w:r w:rsidR="00680B2A" w:rsidRPr="00152818">
        <w:rPr>
          <w:rStyle w:val="Appelnotedebasdep"/>
        </w:rPr>
        <w:footnoteReference w:id="1"/>
      </w:r>
      <w:r w:rsidR="00337A44">
        <w:t xml:space="preserve"> et la c</w:t>
      </w:r>
      <w:r w:rsidR="00CF098A" w:rsidRPr="00CF098A">
        <w:t>ontribution exceptionnelle sur les hauts revenus (CEHR) d</w:t>
      </w:r>
      <w:r w:rsidR="00591D6C">
        <w:t xml:space="preserve">e 3 % ou </w:t>
      </w:r>
      <w:r w:rsidR="00A20D8F">
        <w:t>4 % selon les cas</w:t>
      </w:r>
      <w:r w:rsidR="00A20D8F">
        <w:rPr>
          <w:rStyle w:val="Appelnotedebasdep"/>
        </w:rPr>
        <w:footnoteReference w:id="2"/>
      </w:r>
      <w:r w:rsidR="00CF098A" w:rsidRPr="00CF098A">
        <w:t>.</w:t>
      </w:r>
    </w:p>
    <w:p w:rsidR="003F4FFE" w:rsidRPr="00CF098A" w:rsidRDefault="003F4FFE" w:rsidP="00CF098A"/>
    <w:bookmarkStart w:id="0" w:name="_MON_1596372041"/>
    <w:bookmarkEnd w:id="0"/>
    <w:p w:rsidR="003F4FFE" w:rsidRDefault="003F4FFE" w:rsidP="003F4FFE">
      <w:pPr>
        <w:ind w:left="-567"/>
      </w:pPr>
      <w:r>
        <w:rPr>
          <w:b/>
          <w:bCs/>
        </w:rPr>
        <w:object w:dxaOrig="10177" w:dyaOrig="2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8.5pt;height:102pt" o:ole="">
            <v:imagedata r:id="rId8" o:title=""/>
          </v:shape>
          <o:OLEObject Type="Embed" ProgID="Excel.Sheet.12" ShapeID="_x0000_i1025" DrawAspect="Content" ObjectID="_1596534741" r:id="rId9"/>
        </w:object>
      </w:r>
    </w:p>
    <w:p w:rsidR="003F4FFE" w:rsidRDefault="003F4FFE" w:rsidP="003F4FFE">
      <w:pPr>
        <w:ind w:left="-567"/>
        <w:rPr>
          <w:b/>
        </w:rPr>
      </w:pPr>
    </w:p>
    <w:p w:rsidR="003F4FFE" w:rsidRDefault="003F4FFE" w:rsidP="003F4FFE">
      <w:r w:rsidRPr="003F4FFE">
        <w:rPr>
          <w:b/>
        </w:rPr>
        <w:t>Pression fiscale.</w:t>
      </w:r>
      <w:r>
        <w:t xml:space="preserve"> </w:t>
      </w:r>
      <w:r w:rsidR="00CF098A" w:rsidRPr="00CF098A">
        <w:t>En marginal, le cumul de l’impôt sur le revenu</w:t>
      </w:r>
      <w:r>
        <w:t xml:space="preserve"> – CEHR comprise le cas échéant -</w:t>
      </w:r>
      <w:r w:rsidR="00CF098A" w:rsidRPr="00CF098A">
        <w:t xml:space="preserve"> et de </w:t>
      </w:r>
      <w:r>
        <w:t xml:space="preserve">l’IFI aboutit à un impôt de 192 400 euros sur un revenu de 200 </w:t>
      </w:r>
      <w:r w:rsidR="00CF098A" w:rsidRPr="00CF098A">
        <w:t xml:space="preserve">000 euros. Il sera certes possible de faire jouer le plafonnement sous certaines conditions </w:t>
      </w:r>
      <w:r>
        <w:t>sauf</w:t>
      </w:r>
      <w:r w:rsidR="00CF098A" w:rsidRPr="00CF098A">
        <w:t xml:space="preserve"> si le contribuable a par ailleurs des revenus importants.</w:t>
      </w:r>
    </w:p>
    <w:p w:rsidR="00CF098A" w:rsidRDefault="00975970" w:rsidP="00CF098A">
      <w:r>
        <w:rPr>
          <w:b/>
        </w:rPr>
        <w:t>Droits de mutation à titre gratuit (DMTG)</w:t>
      </w:r>
      <w:r w:rsidR="003F4FFE">
        <w:rPr>
          <w:b/>
        </w:rPr>
        <w:t>.</w:t>
      </w:r>
      <w:r w:rsidR="00D1723B">
        <w:rPr>
          <w:b/>
          <w:bCs/>
        </w:rPr>
        <w:t xml:space="preserve"> </w:t>
      </w:r>
      <w:r w:rsidR="00D1723B" w:rsidRPr="00D1723B">
        <w:rPr>
          <w:bCs/>
        </w:rPr>
        <w:t>Parallèlement à l’</w:t>
      </w:r>
      <w:r w:rsidR="00D1723B" w:rsidRPr="00D1723B">
        <w:t>imposition</w:t>
      </w:r>
      <w:r w:rsidR="00D1723B">
        <w:t xml:space="preserve"> sur les revenus et le capital, peuvent </w:t>
      </w:r>
      <w:r w:rsidR="00512EC8">
        <w:t xml:space="preserve">s’ajouter </w:t>
      </w:r>
      <w:r w:rsidR="00CF098A" w:rsidRPr="00CF098A">
        <w:t xml:space="preserve">des droits de succession </w:t>
      </w:r>
      <w:r w:rsidR="003F4FFE">
        <w:t xml:space="preserve">dont la tranche marginale </w:t>
      </w:r>
      <w:r w:rsidR="00CF098A" w:rsidRPr="00CF098A">
        <w:t xml:space="preserve">en ligne directe </w:t>
      </w:r>
      <w:r w:rsidR="003F4FFE">
        <w:t>est à 45 %</w:t>
      </w:r>
      <w:r w:rsidR="003F4FFE">
        <w:rPr>
          <w:rStyle w:val="Appelnotedebasdep"/>
        </w:rPr>
        <w:footnoteReference w:id="3"/>
      </w:r>
      <w:r w:rsidR="003F4FFE">
        <w:t xml:space="preserve">, soit un coût de transmission de 1 800 </w:t>
      </w:r>
      <w:r w:rsidR="00CF098A" w:rsidRPr="00CF098A">
        <w:t>000 euros</w:t>
      </w:r>
      <w:r w:rsidR="003F4FFE">
        <w:t xml:space="preserve"> pour un bien de 4 000 000 euros comme en l’espèce. </w:t>
      </w:r>
      <w:r>
        <w:t>Cependant c</w:t>
      </w:r>
      <w:r w:rsidR="00CF098A" w:rsidRPr="00CF098A">
        <w:t xml:space="preserve">ette imposition </w:t>
      </w:r>
      <w:r>
        <w:t>peut potentiellement</w:t>
      </w:r>
      <w:r w:rsidR="00CF098A" w:rsidRPr="00CF098A">
        <w:t xml:space="preserve"> être réduite </w:t>
      </w:r>
      <w:r>
        <w:t xml:space="preserve">– et la transmission anticipée – si les propriétaires </w:t>
      </w:r>
      <w:r w:rsidR="00F72AF9">
        <w:t>donnent la</w:t>
      </w:r>
      <w:r w:rsidR="00CF098A" w:rsidRPr="00CF098A">
        <w:t xml:space="preserve"> nue-propriété</w:t>
      </w:r>
      <w:r>
        <w:t xml:space="preserve"> de l’immeuble </w:t>
      </w:r>
      <w:r w:rsidR="00F72AF9">
        <w:t>à</w:t>
      </w:r>
      <w:r>
        <w:t xml:space="preserve"> leurs enfants</w:t>
      </w:r>
      <w:r w:rsidR="00CF098A" w:rsidRPr="00CF098A">
        <w:t xml:space="preserve">. </w:t>
      </w:r>
      <w:r>
        <w:t xml:space="preserve">A noter que </w:t>
      </w:r>
      <w:r w:rsidR="00F72AF9">
        <w:t xml:space="preserve">les droits de donation seront </w:t>
      </w:r>
      <w:r w:rsidR="00CF098A" w:rsidRPr="00CF098A">
        <w:t>d’autant plus réduit</w:t>
      </w:r>
      <w:r w:rsidR="00F72AF9">
        <w:t>s</w:t>
      </w:r>
      <w:r w:rsidR="00CF098A" w:rsidRPr="00CF098A">
        <w:t xml:space="preserve"> que le donateur est jeune.</w:t>
      </w:r>
    </w:p>
    <w:bookmarkStart w:id="1" w:name="_MON_1596373029"/>
    <w:bookmarkEnd w:id="1"/>
    <w:p w:rsidR="00975970" w:rsidRPr="00CF098A" w:rsidRDefault="0088223D" w:rsidP="00CF098A">
      <w:r>
        <w:object w:dxaOrig="9082" w:dyaOrig="4330">
          <v:shape id="_x0000_i1026" type="#_x0000_t75" style="width:453.75pt;height:237pt" o:ole="">
            <v:imagedata r:id="rId10" o:title=""/>
          </v:shape>
          <o:OLEObject Type="Embed" ProgID="Excel.Sheet.12" ShapeID="_x0000_i1026" DrawAspect="Content" ObjectID="_1596534742" r:id="rId11"/>
        </w:object>
      </w:r>
    </w:p>
    <w:p w:rsidR="00BA65F3" w:rsidRDefault="00BA65F3" w:rsidP="00CF098A">
      <w:pPr>
        <w:rPr>
          <w:b/>
        </w:rPr>
      </w:pPr>
    </w:p>
    <w:p w:rsidR="00CF098A" w:rsidRDefault="00F72AF9" w:rsidP="00CF098A">
      <w:r>
        <w:rPr>
          <w:b/>
        </w:rPr>
        <w:t>Points d’attention</w:t>
      </w:r>
      <w:r w:rsidR="00975970" w:rsidRPr="00BA65F3">
        <w:rPr>
          <w:b/>
        </w:rPr>
        <w:t>.</w:t>
      </w:r>
      <w:r w:rsidR="00975970">
        <w:t xml:space="preserve"> Cette </w:t>
      </w:r>
      <w:r w:rsidR="00CF098A" w:rsidRPr="00CF098A">
        <w:t>solution laisse à la charge de</w:t>
      </w:r>
      <w:r w:rsidR="00BA65F3">
        <w:t xml:space="preserve">s </w:t>
      </w:r>
      <w:r w:rsidR="00CF098A" w:rsidRPr="00CF098A">
        <w:t>usufruitier</w:t>
      </w:r>
      <w:r w:rsidR="00BA65F3">
        <w:t>s</w:t>
      </w:r>
      <w:r w:rsidR="00CF098A" w:rsidRPr="00CF098A">
        <w:t xml:space="preserve"> le coût de l'IFI et une imposition marginale élevée sur les revenus fonciers. D'autre part, l'âge du couple doit être pris en compte pour déterminer si une donation avec réserve d'usufruit permet de réduire significativement les droits de mutation à titre gratuit.</w:t>
      </w:r>
      <w:r w:rsidR="00D1723B">
        <w:t xml:space="preserve"> </w:t>
      </w:r>
      <w:r w:rsidR="00CF098A" w:rsidRPr="00CF098A">
        <w:t xml:space="preserve">C'est la raison pour laquelle le couple pourrait décider non </w:t>
      </w:r>
      <w:r w:rsidR="00D1723B">
        <w:t xml:space="preserve">pas </w:t>
      </w:r>
      <w:r w:rsidR="00CF098A" w:rsidRPr="00CF098A">
        <w:t>de tran</w:t>
      </w:r>
      <w:r w:rsidR="00D1723B">
        <w:t xml:space="preserve">smettre le bien à titre gratuit, </w:t>
      </w:r>
      <w:r w:rsidR="00CF098A" w:rsidRPr="00CF098A">
        <w:t xml:space="preserve">mais de le vendre à une société civile immobilière </w:t>
      </w:r>
      <w:r>
        <w:t>familiale (SCI</w:t>
      </w:r>
      <w:r w:rsidR="00440952">
        <w:t>).</w:t>
      </w:r>
    </w:p>
    <w:p w:rsidR="003C77FB" w:rsidRPr="003C77FB" w:rsidRDefault="003C77FB" w:rsidP="00A80880">
      <w:pPr>
        <w:pStyle w:val="Titre1"/>
        <w:jc w:val="center"/>
      </w:pPr>
      <w:r w:rsidRPr="003C77FB">
        <w:t>OPERATION D’OBO IMMOBILIER</w:t>
      </w:r>
      <w:r w:rsidR="00A80880">
        <w:t> : La vente du bien à une SCI</w:t>
      </w:r>
    </w:p>
    <w:p w:rsidR="00D1723B" w:rsidRPr="00CF098A" w:rsidRDefault="00D1723B" w:rsidP="00D1723B">
      <w:r w:rsidRPr="006C6729">
        <w:rPr>
          <w:b/>
        </w:rPr>
        <w:t>Restructuration de la détention.</w:t>
      </w:r>
      <w:r>
        <w:t xml:space="preserve"> Dans cette perspective, le montage </w:t>
      </w:r>
      <w:r w:rsidRPr="00CF098A">
        <w:t xml:space="preserve">qui consiste à </w:t>
      </w:r>
      <w:r>
        <w:t xml:space="preserve">céder un immeuble </w:t>
      </w:r>
      <w:r w:rsidRPr="00CF098A">
        <w:t>via un</w:t>
      </w:r>
      <w:r>
        <w:t xml:space="preserve">e opération de </w:t>
      </w:r>
      <w:r w:rsidRPr="00FB3EE6">
        <w:rPr>
          <w:i/>
        </w:rPr>
        <w:t>owner buy out</w:t>
      </w:r>
      <w:r>
        <w:t xml:space="preserve"> (OBO</w:t>
      </w:r>
      <w:r w:rsidRPr="00CF098A">
        <w:t>)</w:t>
      </w:r>
      <w:r>
        <w:t xml:space="preserve"> ou de « vente à soi-même</w:t>
      </w:r>
      <w:r w:rsidR="003C77FB">
        <w:t xml:space="preserve"> » </w:t>
      </w:r>
      <w:r w:rsidRPr="00CF098A">
        <w:t xml:space="preserve">peut </w:t>
      </w:r>
      <w:r>
        <w:t>prendre tout son</w:t>
      </w:r>
      <w:r w:rsidRPr="00CF098A">
        <w:t xml:space="preserve"> sens</w:t>
      </w:r>
      <w:r>
        <w:t xml:space="preserve">. L’objectif étant </w:t>
      </w:r>
      <w:r w:rsidR="00152818">
        <w:t xml:space="preserve">pour le couple </w:t>
      </w:r>
      <w:r>
        <w:t>de céder le bien à</w:t>
      </w:r>
      <w:r w:rsidR="003C77FB" w:rsidRPr="00CF098A">
        <w:t xml:space="preserve"> une société civile immobilière </w:t>
      </w:r>
      <w:r w:rsidR="003C77FB">
        <w:t xml:space="preserve">familiale (SCI) </w:t>
      </w:r>
      <w:r>
        <w:t xml:space="preserve">soumise </w:t>
      </w:r>
      <w:r w:rsidR="0095321F">
        <w:t xml:space="preserve">à l'impôt sur les sociétés (IS), dite aussi </w:t>
      </w:r>
      <w:r w:rsidR="0095321F" w:rsidRPr="0095321F">
        <w:rPr>
          <w:i/>
        </w:rPr>
        <w:t>Newco</w:t>
      </w:r>
      <w:r w:rsidR="0095321F">
        <w:t>,</w:t>
      </w:r>
      <w:r w:rsidR="00152818">
        <w:t xml:space="preserve"> constituée par les enfants majeurs </w:t>
      </w:r>
      <w:r w:rsidR="00152818" w:rsidRPr="00152818">
        <w:t>avec souscription des titres en pleine propriété.</w:t>
      </w:r>
      <w:r w:rsidR="00152818">
        <w:t xml:space="preserve"> </w:t>
      </w:r>
      <w:r w:rsidR="003C77FB">
        <w:t xml:space="preserve">La société aura recours à </w:t>
      </w:r>
      <w:r w:rsidR="003C77FB" w:rsidRPr="00CF098A">
        <w:t>un emprunt bancaire pour financer tout ou partie de cette acquisition.</w:t>
      </w:r>
    </w:p>
    <w:p w:rsidR="00440952" w:rsidRPr="00CF098A" w:rsidRDefault="00CF098A" w:rsidP="00440952">
      <w:r w:rsidRPr="00CF098A">
        <w:rPr>
          <w:b/>
          <w:bCs/>
        </w:rPr>
        <w:t xml:space="preserve">Vente du bien </w:t>
      </w:r>
      <w:r w:rsidR="003C77FB">
        <w:rPr>
          <w:b/>
          <w:bCs/>
        </w:rPr>
        <w:t xml:space="preserve">à la </w:t>
      </w:r>
      <w:r w:rsidR="003C77FB" w:rsidRPr="003175D6">
        <w:rPr>
          <w:b/>
          <w:bCs/>
          <w:i/>
          <w:iCs/>
        </w:rPr>
        <w:t>Newco</w:t>
      </w:r>
      <w:r w:rsidR="003C77FB">
        <w:rPr>
          <w:b/>
          <w:bCs/>
        </w:rPr>
        <w:t xml:space="preserve">. </w:t>
      </w:r>
      <w:r w:rsidR="003C77FB" w:rsidRPr="003C77FB">
        <w:rPr>
          <w:bCs/>
        </w:rPr>
        <w:t>Le vendeur s’acquitte du p</w:t>
      </w:r>
      <w:r w:rsidRPr="003C77FB">
        <w:rPr>
          <w:bCs/>
        </w:rPr>
        <w:t xml:space="preserve">aiement de l'impôt de plus-value </w:t>
      </w:r>
      <w:r w:rsidRPr="00CF098A">
        <w:t xml:space="preserve">dont le montant total s'élève </w:t>
      </w:r>
      <w:r w:rsidR="003C77FB">
        <w:t>- depuis le</w:t>
      </w:r>
      <w:r w:rsidRPr="00CF098A">
        <w:t xml:space="preserve"> 1er janvier 2018</w:t>
      </w:r>
      <w:r w:rsidR="003C77FB">
        <w:t xml:space="preserve"> - </w:t>
      </w:r>
      <w:r w:rsidRPr="00CF098A">
        <w:t>à 36,2</w:t>
      </w:r>
      <w:r w:rsidR="003C77FB">
        <w:t>0</w:t>
      </w:r>
      <w:r w:rsidRPr="00CF098A">
        <w:t xml:space="preserve"> %, </w:t>
      </w:r>
      <w:r w:rsidR="003C77FB">
        <w:t>décomposé comme suit : 19 % d</w:t>
      </w:r>
      <w:r w:rsidRPr="00CF098A">
        <w:t xml:space="preserve">’impôt sur le revenu et </w:t>
      </w:r>
      <w:r w:rsidR="003C77FB">
        <w:t>17,20 % de prélèvements sociaux</w:t>
      </w:r>
      <w:r w:rsidRPr="00CF098A">
        <w:t xml:space="preserve">. A cela il faut ajouter une taxe additionnelle sur les plus-values </w:t>
      </w:r>
      <w:r w:rsidR="00230C80">
        <w:t xml:space="preserve">nettes imposables supérieures à 50 </w:t>
      </w:r>
      <w:r w:rsidRPr="00CF098A">
        <w:t xml:space="preserve">000 euros dont le </w:t>
      </w:r>
      <w:r w:rsidR="00230C80">
        <w:t>barème</w:t>
      </w:r>
      <w:r w:rsidRPr="00CF098A">
        <w:t xml:space="preserve"> est progressif </w:t>
      </w:r>
      <w:r w:rsidR="00230C80">
        <w:t xml:space="preserve">et </w:t>
      </w:r>
      <w:r w:rsidRPr="00CF098A">
        <w:t>peut aller jusqu'à 6 %.</w:t>
      </w:r>
      <w:r w:rsidR="003C77FB">
        <w:t xml:space="preserve"> </w:t>
      </w:r>
      <w:r w:rsidR="00230C80">
        <w:t>Grâce à un dispositif d’abattement pour durée de détention, l’exonération de la plus-value est acquise après 22 ans de détention</w:t>
      </w:r>
      <w:r w:rsidR="00040123">
        <w:t xml:space="preserve"> pour </w:t>
      </w:r>
      <w:r w:rsidRPr="00CF098A">
        <w:t xml:space="preserve">la partie impôt sur le revenu </w:t>
      </w:r>
      <w:r w:rsidR="001507A4">
        <w:t xml:space="preserve">et 30 ans de détention </w:t>
      </w:r>
      <w:r w:rsidR="005130A2">
        <w:t>p</w:t>
      </w:r>
      <w:r w:rsidRPr="00CF098A">
        <w:t>our</w:t>
      </w:r>
      <w:r w:rsidR="001507A4">
        <w:t xml:space="preserve"> la partie prélèvements sociaux. </w:t>
      </w:r>
      <w:r w:rsidR="00440952" w:rsidRPr="00CF098A">
        <w:t>Dans une opération d'OBO, il convient d'être prudent sur la détermination du prix. Celui-ci n'étant pas déterminé par le marché, un risque de redressement existe tant au niveau des droits d'enregistrement que de l'impôt de plus-value. Il est donc prudent de se faire confirmer la valeur du bien par un ou plusieurs experts.</w:t>
      </w:r>
    </w:p>
    <w:p w:rsidR="001507A4" w:rsidRDefault="001507A4" w:rsidP="00CF098A"/>
    <w:bookmarkStart w:id="2" w:name="_MON_1596376294"/>
    <w:bookmarkEnd w:id="2"/>
    <w:p w:rsidR="005130A2" w:rsidRDefault="005130A2" w:rsidP="00CF098A">
      <w:r>
        <w:object w:dxaOrig="9099" w:dyaOrig="7176">
          <v:shape id="_x0000_i1027" type="#_x0000_t75" style="width:455.25pt;height:358.5pt" o:ole="">
            <v:imagedata r:id="rId12" o:title=""/>
          </v:shape>
          <o:OLEObject Type="Embed" ProgID="Excel.Sheet.12" ShapeID="_x0000_i1027" DrawAspect="Content" ObjectID="_1596534743" r:id="rId13"/>
        </w:object>
      </w:r>
    </w:p>
    <w:p w:rsidR="005130A2" w:rsidRDefault="005130A2" w:rsidP="00CF098A"/>
    <w:p w:rsidR="00CF098A" w:rsidRPr="00CF098A" w:rsidRDefault="005130A2" w:rsidP="00CF098A">
      <w:r>
        <w:rPr>
          <w:b/>
        </w:rPr>
        <w:t>Stratégie de capitalisation</w:t>
      </w:r>
      <w:r w:rsidR="00440952">
        <w:rPr>
          <w:b/>
        </w:rPr>
        <w:t xml:space="preserve"> du prix de vente</w:t>
      </w:r>
      <w:r w:rsidRPr="005130A2">
        <w:rPr>
          <w:b/>
        </w:rPr>
        <w:t>.</w:t>
      </w:r>
      <w:r>
        <w:t xml:space="preserve"> </w:t>
      </w:r>
      <w:r w:rsidR="00CF098A" w:rsidRPr="00CF098A">
        <w:t>Après paiement de l'impôt de plus-value, le vendeur disp</w:t>
      </w:r>
      <w:r>
        <w:t>ose d'une somme nette de 3 771 606 euros qu</w:t>
      </w:r>
      <w:r w:rsidR="001E6C2A">
        <w:t>i est totalement exonéré d'IFI (</w:t>
      </w:r>
      <w:r>
        <w:t xml:space="preserve">sous réserve </w:t>
      </w:r>
      <w:r w:rsidR="00CF098A" w:rsidRPr="00CF098A">
        <w:t xml:space="preserve">de ne pas </w:t>
      </w:r>
      <w:r>
        <w:t>être réinvestie dans un actif immobilier</w:t>
      </w:r>
      <w:r w:rsidR="001E6C2A">
        <w:t>)</w:t>
      </w:r>
      <w:r>
        <w:t xml:space="preserve">. </w:t>
      </w:r>
      <w:r w:rsidR="001E6C2A">
        <w:t xml:space="preserve">Pour valoriser le capital le </w:t>
      </w:r>
      <w:r>
        <w:t>contrat d’</w:t>
      </w:r>
      <w:r w:rsidR="001E6C2A">
        <w:t xml:space="preserve">assurance vie est un véhicule financier et fiscal à privilégier. Celui-ci présente un </w:t>
      </w:r>
      <w:r>
        <w:t>double </w:t>
      </w:r>
      <w:r w:rsidR="001E6C2A">
        <w:t xml:space="preserve">bénéfice </w:t>
      </w:r>
      <w:r>
        <w:t>: d’une part les époux pourront compléter leurs</w:t>
      </w:r>
      <w:r w:rsidR="00CF098A" w:rsidRPr="00CF098A">
        <w:t xml:space="preserve"> revenus</w:t>
      </w:r>
      <w:r>
        <w:t xml:space="preserve"> en opérant des rachats partiels</w:t>
      </w:r>
      <w:r w:rsidR="001E6C2A">
        <w:t xml:space="preserve">, tout en bénéficiant d’une fiscalité </w:t>
      </w:r>
      <w:r w:rsidR="00512EC8">
        <w:t>avantageuse</w:t>
      </w:r>
      <w:r w:rsidR="001E6C2A">
        <w:t> ; d’autre par</w:t>
      </w:r>
      <w:r w:rsidR="00052869">
        <w:t xml:space="preserve">t ils pourront anticiper </w:t>
      </w:r>
      <w:r w:rsidR="001E6C2A">
        <w:t xml:space="preserve">la transmission de ces capitaux </w:t>
      </w:r>
      <w:r w:rsidR="00052869">
        <w:t>en</w:t>
      </w:r>
      <w:r w:rsidR="00CF098A" w:rsidRPr="00CF098A">
        <w:t xml:space="preserve"> </w:t>
      </w:r>
      <w:r w:rsidR="00052869">
        <w:t>désignant</w:t>
      </w:r>
      <w:r w:rsidR="00CF098A" w:rsidRPr="00CF098A">
        <w:t xml:space="preserve"> </w:t>
      </w:r>
      <w:r w:rsidR="001E6C2A">
        <w:t xml:space="preserve">leurs enfants </w:t>
      </w:r>
      <w:r w:rsidR="00CF098A" w:rsidRPr="00CF098A">
        <w:t>comme bénéficiaire</w:t>
      </w:r>
      <w:r w:rsidR="001E6C2A">
        <w:t>s du contrat</w:t>
      </w:r>
      <w:r w:rsidR="00F9271C">
        <w:t xml:space="preserve">. </w:t>
      </w:r>
      <w:r w:rsidR="00052869">
        <w:t xml:space="preserve">Au dénouement du contrat, </w:t>
      </w:r>
      <w:r w:rsidR="00F9271C">
        <w:t xml:space="preserve">les sommes seront transmises </w:t>
      </w:r>
      <w:r w:rsidR="00052869">
        <w:t xml:space="preserve">aux enfants </w:t>
      </w:r>
      <w:r w:rsidR="00F9271C">
        <w:t>à moindre coût</w:t>
      </w:r>
      <w:r w:rsidR="00052869">
        <w:t xml:space="preserve">, le </w:t>
      </w:r>
      <w:r w:rsidR="001E6C2A">
        <w:t xml:space="preserve">régime fiscal </w:t>
      </w:r>
      <w:r w:rsidR="00052869">
        <w:t xml:space="preserve">de l’assurance-vie étant </w:t>
      </w:r>
      <w:r w:rsidR="001E6C2A">
        <w:t xml:space="preserve">plus </w:t>
      </w:r>
      <w:r w:rsidR="00052869">
        <w:t xml:space="preserve">avantageux que le barème </w:t>
      </w:r>
      <w:r w:rsidR="00CF098A" w:rsidRPr="00CF098A">
        <w:t>de droit</w:t>
      </w:r>
      <w:r w:rsidR="00052869">
        <w:t>s de mutation à titre gratuit</w:t>
      </w:r>
      <w:r w:rsidR="00052869">
        <w:rPr>
          <w:rStyle w:val="Appelnotedebasdep"/>
        </w:rPr>
        <w:footnoteReference w:id="4"/>
      </w:r>
      <w:r w:rsidR="00CF098A" w:rsidRPr="00CF098A">
        <w:t>.</w:t>
      </w:r>
      <w:r w:rsidR="00052869">
        <w:t xml:space="preserve"> </w:t>
      </w:r>
    </w:p>
    <w:p w:rsidR="00A80880" w:rsidRPr="003D368E" w:rsidRDefault="003175D6" w:rsidP="00A80880">
      <w:r>
        <w:rPr>
          <w:b/>
          <w:bCs/>
        </w:rPr>
        <w:lastRenderedPageBreak/>
        <w:t>Financement de l’opération par</w:t>
      </w:r>
      <w:r w:rsidR="00CF098A" w:rsidRPr="00CF098A">
        <w:rPr>
          <w:b/>
          <w:bCs/>
        </w:rPr>
        <w:t xml:space="preserve"> la </w:t>
      </w:r>
      <w:r w:rsidR="00CF098A" w:rsidRPr="003175D6">
        <w:rPr>
          <w:b/>
          <w:bCs/>
          <w:i/>
        </w:rPr>
        <w:t>Newco</w:t>
      </w:r>
      <w:r>
        <w:rPr>
          <w:b/>
          <w:bCs/>
        </w:rPr>
        <w:t xml:space="preserve">. </w:t>
      </w:r>
      <w:r w:rsidR="00CF098A" w:rsidRPr="00CF098A">
        <w:t>Outre le prix</w:t>
      </w:r>
      <w:r>
        <w:t xml:space="preserve"> d’achat</w:t>
      </w:r>
      <w:r w:rsidR="00CF098A" w:rsidRPr="00CF098A">
        <w:t xml:space="preserve">, </w:t>
      </w:r>
      <w:r w:rsidR="008F3CD5">
        <w:t>le cessionnaire</w:t>
      </w:r>
      <w:r w:rsidR="00CF098A" w:rsidRPr="00CF098A">
        <w:t xml:space="preserve"> doit </w:t>
      </w:r>
      <w:r w:rsidR="008F3CD5">
        <w:t>régler les</w:t>
      </w:r>
      <w:r w:rsidR="00CF098A" w:rsidRPr="00CF098A">
        <w:t xml:space="preserve"> frais d’acquisition qui</w:t>
      </w:r>
      <w:r w:rsidR="008F3CD5">
        <w:t xml:space="preserve"> </w:t>
      </w:r>
      <w:r w:rsidR="00CF098A" w:rsidRPr="00CF098A">
        <w:t xml:space="preserve">s’élèvent à environ 271.000 euros </w:t>
      </w:r>
      <w:r w:rsidR="008F3CD5">
        <w:t xml:space="preserve">hors taxe </w:t>
      </w:r>
      <w:r w:rsidR="00CF098A" w:rsidRPr="00CF098A">
        <w:t>et hors frais de prêt</w:t>
      </w:r>
      <w:r w:rsidR="008F3CD5">
        <w:rPr>
          <w:rStyle w:val="Appelnotedebasdep"/>
        </w:rPr>
        <w:footnoteReference w:id="5"/>
      </w:r>
      <w:r w:rsidR="004C273A">
        <w:t xml:space="preserve"> sur la </w:t>
      </w:r>
      <w:r w:rsidR="004C273A" w:rsidRPr="00A80880">
        <w:t>base d’un investissement de 4 000 000 d’euros</w:t>
      </w:r>
      <w:r w:rsidR="008F3CD5" w:rsidRPr="00A80880">
        <w:t>.</w:t>
      </w:r>
      <w:r w:rsidR="004C273A" w:rsidRPr="00A80880">
        <w:t xml:space="preserve"> </w:t>
      </w:r>
      <w:r w:rsidR="00A80880" w:rsidRPr="00A80880">
        <w:t xml:space="preserve">Le prix et les frais seront payés à l'aide d'un crédit bancaire ce qui permet également </w:t>
      </w:r>
      <w:r w:rsidR="00A80880" w:rsidRPr="00A80880">
        <w:t xml:space="preserve">de profiter des taux bas </w:t>
      </w:r>
      <w:r w:rsidR="00A80880" w:rsidRPr="00A80880">
        <w:t>(voir tableaux n°4)</w:t>
      </w:r>
      <w:r w:rsidR="00A80880" w:rsidRPr="00A80880">
        <w:t>.</w:t>
      </w:r>
    </w:p>
    <w:p w:rsidR="00440952" w:rsidRPr="00CF098A" w:rsidRDefault="00440952" w:rsidP="00CF098A"/>
    <w:bookmarkStart w:id="3" w:name="_MON_1596378824"/>
    <w:bookmarkEnd w:id="3"/>
    <w:p w:rsidR="00035DE3" w:rsidRDefault="00440952" w:rsidP="00440952">
      <w:pPr>
        <w:jc w:val="center"/>
        <w:rPr>
          <w:b/>
          <w:bCs/>
        </w:rPr>
      </w:pPr>
      <w:r>
        <w:rPr>
          <w:b/>
          <w:bCs/>
        </w:rPr>
        <w:object w:dxaOrig="7726" w:dyaOrig="3039">
          <v:shape id="_x0000_i1028" type="#_x0000_t75" style="width:386.25pt;height:152.25pt" o:ole="">
            <v:imagedata r:id="rId14" o:title=""/>
          </v:shape>
          <o:OLEObject Type="Embed" ProgID="Excel.Sheet.12" ShapeID="_x0000_i1028" DrawAspect="Content" ObjectID="_1596534744" r:id="rId15"/>
        </w:object>
      </w:r>
    </w:p>
    <w:p w:rsidR="00440952" w:rsidRDefault="00440952" w:rsidP="00CF098A">
      <w:pPr>
        <w:rPr>
          <w:b/>
          <w:bCs/>
        </w:rPr>
      </w:pPr>
    </w:p>
    <w:p w:rsidR="00CF098A" w:rsidRPr="00CF098A" w:rsidRDefault="00CF098A" w:rsidP="00022F3B">
      <w:pPr>
        <w:jc w:val="center"/>
      </w:pPr>
      <w:r w:rsidRPr="00CF098A">
        <w:rPr>
          <w:b/>
          <w:bCs/>
        </w:rPr>
        <w:t>Fisca</w:t>
      </w:r>
      <w:r w:rsidR="00022F3B">
        <w:rPr>
          <w:b/>
          <w:bCs/>
        </w:rPr>
        <w:t>lité de la Newco : un arbitrage s’impose entre IR et IS.</w:t>
      </w:r>
    </w:p>
    <w:p w:rsidR="00F12C6F" w:rsidRPr="00CF098A" w:rsidRDefault="00CF098A" w:rsidP="00F12C6F">
      <w:r w:rsidRPr="00CF098A">
        <w:rPr>
          <w:b/>
          <w:bCs/>
        </w:rPr>
        <w:t>Un impôt sur les sociétés plus favorable</w:t>
      </w:r>
      <w:r w:rsidR="00022F3B">
        <w:rPr>
          <w:b/>
          <w:bCs/>
        </w:rPr>
        <w:t xml:space="preserve">. </w:t>
      </w:r>
      <w:r w:rsidRPr="00CF098A">
        <w:t>Pour la frac</w:t>
      </w:r>
      <w:r w:rsidR="00022F3B">
        <w:t xml:space="preserve">tion du bénéfice inférieur à 38 </w:t>
      </w:r>
      <w:r w:rsidRPr="00CF098A">
        <w:t xml:space="preserve">120 </w:t>
      </w:r>
      <w:r w:rsidR="00022F3B">
        <w:t>euros</w:t>
      </w:r>
      <w:r w:rsidRPr="00CF098A">
        <w:t xml:space="preserve">, le taux </w:t>
      </w:r>
      <w:r w:rsidR="00022F3B">
        <w:t>d’IS</w:t>
      </w:r>
      <w:r w:rsidRPr="00CF098A">
        <w:t xml:space="preserve"> est de 15 %.</w:t>
      </w:r>
      <w:r w:rsidR="00022F3B">
        <w:t xml:space="preserve"> Au-delà </w:t>
      </w:r>
      <w:r w:rsidRPr="00CF098A">
        <w:t xml:space="preserve">le taux est de 28 % </w:t>
      </w:r>
      <w:r w:rsidR="00022F3B">
        <w:t xml:space="preserve">pour les années 2018 à 2020 avant d’atteindre </w:t>
      </w:r>
      <w:r w:rsidRPr="00CF098A">
        <w:t>26,5</w:t>
      </w:r>
      <w:r w:rsidR="00022F3B">
        <w:t>0</w:t>
      </w:r>
      <w:r w:rsidRPr="00CF098A">
        <w:t xml:space="preserve"> % en 2021 et</w:t>
      </w:r>
      <w:r w:rsidR="00022F3B">
        <w:t xml:space="preserve"> 25 % en 2022</w:t>
      </w:r>
      <w:r w:rsidR="0095321F">
        <w:t>. En comparaison avec le ta</w:t>
      </w:r>
      <w:r w:rsidRPr="00CF098A">
        <w:t>ux marginal de l’impôt sur</w:t>
      </w:r>
      <w:r w:rsidR="0095321F">
        <w:t xml:space="preserve"> le revenu (62,20 %, hors CEHR), l’impôt sur les sociétés semble a priori plus favorable. T</w:t>
      </w:r>
      <w:r w:rsidRPr="00CF098A">
        <w:t xml:space="preserve">outefois cette appréciation </w:t>
      </w:r>
      <w:r w:rsidR="0095321F">
        <w:t>est à nuancer, puisque toute distribution d</w:t>
      </w:r>
      <w:r w:rsidRPr="00CF098A">
        <w:t>e bénéfice</w:t>
      </w:r>
      <w:r w:rsidR="0095321F">
        <w:t>s</w:t>
      </w:r>
      <w:r w:rsidRPr="00CF098A">
        <w:t xml:space="preserve"> </w:t>
      </w:r>
      <w:r w:rsidR="0095321F">
        <w:t>sera imposée</w:t>
      </w:r>
      <w:r w:rsidRPr="00CF098A">
        <w:t xml:space="preserve"> </w:t>
      </w:r>
      <w:r w:rsidR="0095321F">
        <w:t>entre les mains d</w:t>
      </w:r>
      <w:r w:rsidRPr="00CF098A">
        <w:t>es associé</w:t>
      </w:r>
      <w:r w:rsidR="0095321F">
        <w:t>s</w:t>
      </w:r>
      <w:r w:rsidRPr="00CF098A">
        <w:t xml:space="preserve"> bénéficiaires au taux du prélèvement forfaitaire unique (PFU) de 30 % (12,8</w:t>
      </w:r>
      <w:r w:rsidR="0095321F">
        <w:t>0</w:t>
      </w:r>
      <w:r w:rsidRPr="00CF098A">
        <w:t xml:space="preserve"> % d'IR et 17,2</w:t>
      </w:r>
      <w:r w:rsidR="0095321F">
        <w:t>0</w:t>
      </w:r>
      <w:r w:rsidRPr="00CF098A">
        <w:t xml:space="preserve"> % de prélèvements sociaux).</w:t>
      </w:r>
      <w:r w:rsidR="00F12C6F">
        <w:t xml:space="preserve"> Sur la base d’un revenu de 200 000 euros par an, la Newco ayant opté pour l’impôt sur les sociétés remporte </w:t>
      </w:r>
      <w:r w:rsidR="00F12C6F" w:rsidRPr="00CF098A">
        <w:t>l'avantage</w:t>
      </w:r>
      <w:r w:rsidR="00F12C6F">
        <w:t>, même en cas de distribution. En comparant les deux régimes fiscaux, les associés de la Newco ayant opté pour l’IS perçoivent un revenu net d’environ 104.270 euros contre un revenu de 75 600 euros pour les associés appartenant à une société à l’IR, soit une différence</w:t>
      </w:r>
      <w:r w:rsidR="00E10819">
        <w:t xml:space="preserve"> d’environ</w:t>
      </w:r>
      <w:r w:rsidR="00F12C6F">
        <w:t xml:space="preserve"> 29 000 </w:t>
      </w:r>
      <w:r w:rsidR="007E29E9">
        <w:t xml:space="preserve">euros (voir tableau n°5). </w:t>
      </w:r>
    </w:p>
    <w:p w:rsidR="00CF098A" w:rsidRPr="00CF098A" w:rsidRDefault="00CF098A" w:rsidP="00CF098A"/>
    <w:bookmarkStart w:id="4" w:name="_MON_1596380501"/>
    <w:bookmarkEnd w:id="4"/>
    <w:p w:rsidR="00CF098A" w:rsidRPr="00CF098A" w:rsidRDefault="00A80880" w:rsidP="0095321F">
      <w:pPr>
        <w:ind w:left="-851"/>
      </w:pPr>
      <w:r>
        <w:rPr>
          <w:b/>
          <w:bCs/>
        </w:rPr>
        <w:object w:dxaOrig="11080" w:dyaOrig="4584">
          <v:shape id="_x0000_i1042" type="#_x0000_t75" style="width:554.25pt;height:229.5pt" o:ole="">
            <v:imagedata r:id="rId16" o:title=""/>
          </v:shape>
          <o:OLEObject Type="Embed" ProgID="Excel.Sheet.12" ShapeID="_x0000_i1042" DrawAspect="Content" ObjectID="_1596534745" r:id="rId17"/>
        </w:object>
      </w:r>
    </w:p>
    <w:p w:rsidR="002F29B9" w:rsidRDefault="002F29B9" w:rsidP="00CF098A">
      <w:pPr>
        <w:rPr>
          <w:b/>
          <w:bCs/>
        </w:rPr>
      </w:pPr>
    </w:p>
    <w:p w:rsidR="00CF098A" w:rsidRPr="00CF098A" w:rsidRDefault="002F29B9" w:rsidP="00CF098A">
      <w:r>
        <w:rPr>
          <w:b/>
          <w:bCs/>
        </w:rPr>
        <w:t>Bénéfice de l’</w:t>
      </w:r>
      <w:r w:rsidR="00CF098A" w:rsidRPr="00CF098A">
        <w:rPr>
          <w:b/>
          <w:bCs/>
        </w:rPr>
        <w:t>amortissement</w:t>
      </w:r>
      <w:r>
        <w:rPr>
          <w:bCs/>
        </w:rPr>
        <w:t>.</w:t>
      </w:r>
      <w:r w:rsidRPr="002F29B9">
        <w:rPr>
          <w:bCs/>
        </w:rPr>
        <w:t xml:space="preserve"> </w:t>
      </w:r>
      <w:r w:rsidR="00CF098A" w:rsidRPr="002F29B9">
        <w:rPr>
          <w:bCs/>
        </w:rPr>
        <w:t xml:space="preserve"> </w:t>
      </w:r>
      <w:r w:rsidR="00040123">
        <w:rPr>
          <w:bCs/>
        </w:rPr>
        <w:t>La possibilité</w:t>
      </w:r>
      <w:r w:rsidR="00526C89">
        <w:rPr>
          <w:bCs/>
        </w:rPr>
        <w:t xml:space="preserve"> d’amortir l’immobilier dans une société soumise à l’IS </w:t>
      </w:r>
      <w:r w:rsidR="00CF098A" w:rsidRPr="002F29B9">
        <w:rPr>
          <w:bCs/>
        </w:rPr>
        <w:t>facilite le remboursement du prêt ou la</w:t>
      </w:r>
      <w:r w:rsidR="00B5564A">
        <w:rPr>
          <w:bCs/>
        </w:rPr>
        <w:t xml:space="preserve"> constitution d'une "cagnotte" en dégageant des liquidités supplémentaires. En pratique l’amortissement de l’immeuble </w:t>
      </w:r>
      <w:r w:rsidR="00CF098A" w:rsidRPr="00CF098A">
        <w:t>entraîne une</w:t>
      </w:r>
      <w:r w:rsidR="00B5564A">
        <w:t xml:space="preserve"> réduction de la base imposable, donc une économie d’impôt qui constitue autant de trésorerie supplémentaire pouvant être consacrée au remboursement du</w:t>
      </w:r>
      <w:r w:rsidR="00CF098A" w:rsidRPr="00CF098A">
        <w:t xml:space="preserve"> prêt immobilier</w:t>
      </w:r>
      <w:r w:rsidR="00B5564A">
        <w:t xml:space="preserve"> contracté par la société</w:t>
      </w:r>
      <w:r w:rsidR="00CF098A" w:rsidRPr="00CF098A">
        <w:t xml:space="preserve">. </w:t>
      </w:r>
      <w:r w:rsidR="00B5564A">
        <w:t xml:space="preserve">Au fil du temps, la diminution, voire la neutralisation, de l’assiette </w:t>
      </w:r>
      <w:r w:rsidR="00CF098A" w:rsidRPr="00CF098A">
        <w:t xml:space="preserve">imposable à l'impôt sur les sociétés </w:t>
      </w:r>
      <w:r w:rsidR="00B5564A">
        <w:t>contribue à la création d’un déficit reportable sur plusieurs années</w:t>
      </w:r>
      <w:r w:rsidR="0019507D">
        <w:t xml:space="preserve"> (voir tableau n°6)</w:t>
      </w:r>
      <w:r w:rsidR="00B5564A">
        <w:t xml:space="preserve">. </w:t>
      </w:r>
    </w:p>
    <w:p w:rsidR="00CF098A" w:rsidRPr="00CF098A" w:rsidRDefault="00CF098A" w:rsidP="00CF098A"/>
    <w:bookmarkStart w:id="5" w:name="_MON_1596383177"/>
    <w:bookmarkEnd w:id="5"/>
    <w:p w:rsidR="00CF098A" w:rsidRPr="00CF098A" w:rsidRDefault="00FE3EA6" w:rsidP="00FE3EA6">
      <w:pPr>
        <w:ind w:left="-1134"/>
      </w:pPr>
      <w:r>
        <w:object w:dxaOrig="11625" w:dyaOrig="6377">
          <v:shape id="_x0000_i1030" type="#_x0000_t75" style="width:581.25pt;height:318.75pt" o:ole="">
            <v:imagedata r:id="rId18" o:title=""/>
          </v:shape>
          <o:OLEObject Type="Embed" ProgID="Excel.Sheet.12" ShapeID="_x0000_i1030" DrawAspect="Content" ObjectID="_1596534746" r:id="rId19"/>
        </w:object>
      </w:r>
    </w:p>
    <w:p w:rsidR="0019507D" w:rsidRDefault="0019507D" w:rsidP="00CF098A"/>
    <w:p w:rsidR="00CF098A" w:rsidRDefault="0019507D" w:rsidP="00CF098A">
      <w:r w:rsidRPr="0019507D">
        <w:rPr>
          <w:b/>
        </w:rPr>
        <w:t>Limites.</w:t>
      </w:r>
      <w:r>
        <w:t xml:space="preserve"> I</w:t>
      </w:r>
      <w:r w:rsidR="00CF098A" w:rsidRPr="00CF098A">
        <w:t xml:space="preserve">l convient </w:t>
      </w:r>
      <w:r>
        <w:t>cependant</w:t>
      </w:r>
      <w:r w:rsidR="00CF098A" w:rsidRPr="00CF098A">
        <w:t xml:space="preserve"> de relativiser l'avantage lié à l'amortissement en cas</w:t>
      </w:r>
      <w:r>
        <w:t xml:space="preserve"> de cession du bien immobilier puisqu’en </w:t>
      </w:r>
      <w:r w:rsidR="00CF098A" w:rsidRPr="00CF098A">
        <w:t xml:space="preserve">cas de revente, la plus-value est calculée en fonction de la valeur nette comptable, c'est à dire en tenant compte des amortissements pratiqués. Autrement dit, l'avantage lié à la diminution de base imposable est récupéré au moment de la vente. D'autre part, à la différence des plus-values immobilières des particuliers, il n'existe </w:t>
      </w:r>
      <w:r>
        <w:t xml:space="preserve">pas pour les sociétés IS </w:t>
      </w:r>
      <w:r w:rsidR="00CF098A" w:rsidRPr="00CF098A">
        <w:t>d'abattement pour durée de détention.</w:t>
      </w:r>
    </w:p>
    <w:p w:rsidR="00040123" w:rsidRDefault="0019507D" w:rsidP="0019507D">
      <w:pPr>
        <w:rPr>
          <w:highlight w:val="yellow"/>
        </w:rPr>
      </w:pPr>
      <w:r w:rsidRPr="008F40C9">
        <w:rPr>
          <w:b/>
          <w:highlight w:val="yellow"/>
        </w:rPr>
        <w:t>Trésorerie.</w:t>
      </w:r>
      <w:r w:rsidRPr="008F40C9">
        <w:rPr>
          <w:highlight w:val="yellow"/>
        </w:rPr>
        <w:t xml:space="preserve"> D’après le tableau de trésorerie réalisé ci-après (voir tableau n°7) on co</w:t>
      </w:r>
      <w:r w:rsidR="008F40C9" w:rsidRPr="008F40C9">
        <w:rPr>
          <w:highlight w:val="yellow"/>
        </w:rPr>
        <w:t>nstate qu’en dépit de l'amortissement</w:t>
      </w:r>
      <w:r w:rsidRPr="008F40C9">
        <w:rPr>
          <w:highlight w:val="yellow"/>
        </w:rPr>
        <w:t xml:space="preserve"> le bien ne s'autofinance pas. Il faut que les associés fassent des apports annuels pour pouvoir rembourser le prêt. Pour éviter cela, deux solutions sont possibles :</w:t>
      </w:r>
      <w:r w:rsidR="00040123">
        <w:rPr>
          <w:highlight w:val="yellow"/>
        </w:rPr>
        <w:t xml:space="preserve"> </w:t>
      </w:r>
    </w:p>
    <w:p w:rsidR="0019507D" w:rsidRPr="008F40C9" w:rsidRDefault="00040123" w:rsidP="0019507D">
      <w:pPr>
        <w:rPr>
          <w:highlight w:val="yellow"/>
        </w:rPr>
      </w:pPr>
      <w:r>
        <w:rPr>
          <w:highlight w:val="yellow"/>
        </w:rPr>
        <w:t xml:space="preserve">- </w:t>
      </w:r>
      <w:r w:rsidR="0019507D" w:rsidRPr="008F40C9">
        <w:rPr>
          <w:highlight w:val="yellow"/>
        </w:rPr>
        <w:t>diminuer le montant du prêt</w:t>
      </w:r>
      <w:r w:rsidR="008F40C9">
        <w:rPr>
          <w:highlight w:val="yellow"/>
        </w:rPr>
        <w:t xml:space="preserve"> grâce à un apport ab initio</w:t>
      </w:r>
      <w:r w:rsidR="008F40C9">
        <w:rPr>
          <w:rStyle w:val="Appelnotedebasdep"/>
          <w:highlight w:val="yellow"/>
        </w:rPr>
        <w:footnoteReference w:id="6"/>
      </w:r>
    </w:p>
    <w:p w:rsidR="0019507D" w:rsidRPr="00CF098A" w:rsidRDefault="0019507D" w:rsidP="0019507D">
      <w:r w:rsidRPr="008F40C9">
        <w:rPr>
          <w:highlight w:val="yellow"/>
        </w:rPr>
        <w:t>-augmenter la durée du prêt qui permet de réduire les échéances du crédit</w:t>
      </w:r>
    </w:p>
    <w:p w:rsidR="0019507D" w:rsidRPr="00CF098A" w:rsidRDefault="0019507D" w:rsidP="00CF098A"/>
    <w:bookmarkStart w:id="6" w:name="_MON_1596383722"/>
    <w:bookmarkEnd w:id="6"/>
    <w:p w:rsidR="0019507D" w:rsidRDefault="00A80880" w:rsidP="0019507D">
      <w:pPr>
        <w:ind w:left="-284"/>
      </w:pPr>
      <w:r>
        <w:object w:dxaOrig="9986" w:dyaOrig="5483">
          <v:shape id="_x0000_i1045" type="#_x0000_t75" style="width:499.5pt;height:274.5pt" o:ole="">
            <v:imagedata r:id="rId20" o:title=""/>
          </v:shape>
          <o:OLEObject Type="Embed" ProgID="Excel.Sheet.12" ShapeID="_x0000_i1045" DrawAspect="Content" ObjectID="_1596534747" r:id="rId21"/>
        </w:object>
      </w:r>
    </w:p>
    <w:p w:rsidR="0019507D" w:rsidRDefault="0019507D" w:rsidP="00CF098A"/>
    <w:p w:rsidR="00152818" w:rsidRDefault="008F40C9" w:rsidP="00152818">
      <w:r w:rsidRPr="009309D3">
        <w:rPr>
          <w:b/>
          <w:bCs/>
        </w:rPr>
        <w:t xml:space="preserve">IFI et sociétés IS. </w:t>
      </w:r>
      <w:r w:rsidR="009309D3" w:rsidRPr="009309D3">
        <w:t xml:space="preserve">Chaque associé est imposé sur la fraction des parts représentative d’actifs </w:t>
      </w:r>
      <w:r w:rsidR="009309D3" w:rsidRPr="00A735D3">
        <w:t>immobiliers détenus par la société.</w:t>
      </w:r>
      <w:r w:rsidR="00A735D3" w:rsidRPr="00A735D3">
        <w:t xml:space="preserve"> M</w:t>
      </w:r>
      <w:r w:rsidR="00A735D3" w:rsidRPr="00A735D3">
        <w:t>ême si des dispositifs anti abus ont été mis en place, le fait que la société ait souscrit un prêt bancaire pour acquérir l'immeuble a pour effet de diminuer (au moins temporairement</w:t>
      </w:r>
      <w:r w:rsidR="00A735D3" w:rsidRPr="00A735D3">
        <w:rPr>
          <w:rStyle w:val="Appelnotedebasdep"/>
        </w:rPr>
        <w:footnoteReference w:id="7"/>
      </w:r>
      <w:r w:rsidR="00A735D3" w:rsidRPr="00A735D3">
        <w:t>) la valorisation de la société et donc la taxation</w:t>
      </w:r>
      <w:r w:rsidR="00A735D3">
        <w:t xml:space="preserve"> au titre de l</w:t>
      </w:r>
      <w:r w:rsidR="00A735D3" w:rsidRPr="00A735D3">
        <w:t>'IFI. Selon les calculs effectués ci-dessus, l’économie d’IFI est au début de l’opération comprise entre 50.000 € et 60</w:t>
      </w:r>
      <w:r w:rsidR="00A735D3">
        <w:t>.000 €.</w:t>
      </w:r>
      <w:r w:rsidR="00DF310D">
        <w:t xml:space="preserve"> </w:t>
      </w:r>
      <w:r w:rsidR="00A735D3">
        <w:t xml:space="preserve">En attendant une souhaitable suppression de cet impôt </w:t>
      </w:r>
      <w:r w:rsidR="00A735D3" w:rsidRPr="00A735D3">
        <w:t>qui est non seulement discriminatoire pour l'immobilier mais aussi injustifié</w:t>
      </w:r>
      <w:r w:rsidR="00A735D3">
        <w:t xml:space="preserve">, </w:t>
      </w:r>
      <w:r w:rsidR="00152818" w:rsidRPr="00A735D3">
        <w:t>il convient de s'organiser pour essayer de limiter les effets d'une imposition pénalisante et confiscatoire sur l'immobilier.</w:t>
      </w:r>
      <w:r w:rsidR="00152818">
        <w:t xml:space="preserve"> </w:t>
      </w:r>
    </w:p>
    <w:p w:rsidR="009309D3" w:rsidRPr="009309D3" w:rsidRDefault="009309D3" w:rsidP="009309D3"/>
    <w:p w:rsidR="009309D3" w:rsidRPr="009309D3" w:rsidRDefault="009309D3" w:rsidP="009309D3"/>
    <w:p w:rsidR="009309D3" w:rsidRPr="009309D3" w:rsidRDefault="009309D3" w:rsidP="009309D3"/>
    <w:p w:rsidR="009309D3" w:rsidRPr="009309D3" w:rsidRDefault="009309D3" w:rsidP="009309D3"/>
    <w:p w:rsidR="009309D3" w:rsidRPr="009309D3" w:rsidRDefault="009309D3" w:rsidP="009309D3"/>
    <w:p w:rsidR="009309D3" w:rsidRPr="009309D3" w:rsidRDefault="009309D3" w:rsidP="009309D3"/>
    <w:p w:rsidR="009309D3" w:rsidRPr="009309D3" w:rsidRDefault="009309D3" w:rsidP="009309D3">
      <w:pPr>
        <w:tabs>
          <w:tab w:val="left" w:pos="2595"/>
        </w:tabs>
      </w:pPr>
      <w:r>
        <w:tab/>
      </w:r>
    </w:p>
    <w:bookmarkStart w:id="7" w:name="_MON_1596532729"/>
    <w:bookmarkEnd w:id="7"/>
    <w:p w:rsidR="009309D3" w:rsidRPr="000868CC" w:rsidRDefault="009309D3" w:rsidP="000868CC">
      <w:pPr>
        <w:rPr>
          <w:color w:val="FF0000"/>
        </w:rPr>
      </w:pPr>
      <w:r>
        <w:rPr>
          <w:color w:val="FF0000"/>
        </w:rPr>
        <w:object w:dxaOrig="7350" w:dyaOrig="3933">
          <v:shape id="_x0000_i1069" type="#_x0000_t75" style="width:367.5pt;height:196.5pt" o:ole="">
            <v:imagedata r:id="rId22" o:title=""/>
          </v:shape>
          <o:OLEObject Type="Embed" ProgID="Excel.Sheet.12" ShapeID="_x0000_i1069" DrawAspect="Content" ObjectID="_1596534748" r:id="rId23"/>
        </w:object>
      </w:r>
    </w:p>
    <w:p w:rsidR="000868CC" w:rsidRPr="00CF098A" w:rsidRDefault="000868CC" w:rsidP="00CF098A"/>
    <w:p w:rsidR="00DF310D" w:rsidRDefault="000868CC" w:rsidP="00DF310D">
      <w:r w:rsidRPr="000868CC">
        <w:rPr>
          <w:b/>
        </w:rPr>
        <w:t>Conclusion.</w:t>
      </w:r>
      <w:r w:rsidRPr="000868CC">
        <w:t xml:space="preserve"> </w:t>
      </w:r>
      <w:r w:rsidR="00CF098A" w:rsidRPr="000868CC">
        <w:t>Finalement on se demande si l'OBO immobilier ne permet pas de réaliser la</w:t>
      </w:r>
      <w:r w:rsidR="00DF310D">
        <w:t xml:space="preserve"> quadrature du cercle : </w:t>
      </w:r>
      <w:r w:rsidR="00DF310D">
        <w:t>dégager des liquidités exonérées d'IFI permettant une meilleure allocation fiscale (assurance vie notamment) tant en vue de la transmission que de l'organisation de la retraite</w:t>
      </w:r>
      <w:r w:rsidR="00DF310D">
        <w:t xml:space="preserve"> </w:t>
      </w:r>
      <w:r w:rsidR="00DF310D">
        <w:t>;</w:t>
      </w:r>
      <w:r w:rsidR="00DF310D">
        <w:t xml:space="preserve"> </w:t>
      </w:r>
      <w:r w:rsidR="00DF310D">
        <w:t>conserver le bien immobilier dans la famille tout en le transmettant aux enfants en économisant les droits de succession;</w:t>
      </w:r>
      <w:r w:rsidR="00DF310D">
        <w:t xml:space="preserve"> </w:t>
      </w:r>
      <w:r w:rsidR="00DF310D">
        <w:t>bénéficier de la fiscalité plus favorable de l'IS par rapport à celle des revenus fonciers;</w:t>
      </w:r>
      <w:r w:rsidR="00DF310D">
        <w:t xml:space="preserve"> </w:t>
      </w:r>
      <w:r w:rsidR="00DF310D">
        <w:t>profiter des taux bas mais pour combien de temps encore ?</w:t>
      </w:r>
      <w:bookmarkStart w:id="8" w:name="_GoBack"/>
      <w:bookmarkEnd w:id="8"/>
    </w:p>
    <w:p w:rsidR="00CF098A" w:rsidRPr="00CF098A" w:rsidRDefault="00CF098A" w:rsidP="00DF310D"/>
    <w:p w:rsidR="00296ECF" w:rsidRDefault="00296ECF" w:rsidP="00CF098A"/>
    <w:sectPr w:rsidR="00296EC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C29" w:rsidRDefault="00941C29" w:rsidP="00710C6C">
      <w:pPr>
        <w:spacing w:before="0" w:after="0"/>
      </w:pPr>
      <w:r>
        <w:separator/>
      </w:r>
    </w:p>
  </w:endnote>
  <w:endnote w:type="continuationSeparator" w:id="0">
    <w:p w:rsidR="00941C29" w:rsidRDefault="00941C29" w:rsidP="00710C6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C29" w:rsidRDefault="00941C29" w:rsidP="00710C6C">
      <w:pPr>
        <w:spacing w:before="0" w:after="0"/>
      </w:pPr>
      <w:r>
        <w:separator/>
      </w:r>
    </w:p>
  </w:footnote>
  <w:footnote w:type="continuationSeparator" w:id="0">
    <w:p w:rsidR="00941C29" w:rsidRDefault="00941C29" w:rsidP="00710C6C">
      <w:pPr>
        <w:spacing w:before="0" w:after="0"/>
      </w:pPr>
      <w:r>
        <w:continuationSeparator/>
      </w:r>
    </w:p>
  </w:footnote>
  <w:footnote w:id="1">
    <w:p w:rsidR="00680B2A" w:rsidRPr="00975970" w:rsidRDefault="00680B2A" w:rsidP="00680B2A">
      <w:pPr>
        <w:rPr>
          <w:sz w:val="20"/>
        </w:rPr>
      </w:pPr>
      <w:r w:rsidRPr="00975970">
        <w:rPr>
          <w:rStyle w:val="Appelnotedebasdep"/>
          <w:sz w:val="20"/>
        </w:rPr>
        <w:footnoteRef/>
      </w:r>
      <w:r w:rsidRPr="00975970">
        <w:rPr>
          <w:sz w:val="20"/>
        </w:rPr>
        <w:t xml:space="preserve"> Ce taux se décompose entre 9,90 % de CSG ; 0,5 % de CRDS; 4,50 % de prélèvement social, 2 % de prélèvement de solidarité et 0,30 % de contribution additionnelle au prélèvement social. Le taux de 17,20 % est un taux facial. Le taux réel est inférieur puisqu'une partie de la CSG (6,80 %) est déductible l'année d'après.</w:t>
      </w:r>
    </w:p>
  </w:footnote>
  <w:footnote w:id="2">
    <w:p w:rsidR="00A20D8F" w:rsidRPr="00975970" w:rsidRDefault="00A20D8F" w:rsidP="00975970">
      <w:pPr>
        <w:rPr>
          <w:sz w:val="16"/>
        </w:rPr>
      </w:pPr>
      <w:r w:rsidRPr="00975970">
        <w:rPr>
          <w:rStyle w:val="Appelnotedebasdep"/>
          <w:sz w:val="20"/>
        </w:rPr>
        <w:footnoteRef/>
      </w:r>
      <w:r w:rsidRPr="00975970">
        <w:rPr>
          <w:sz w:val="20"/>
        </w:rPr>
        <w:t xml:space="preserve">  3 % entre 250 000 et 500 000 euros pour un célibataire, entre 500 000 et 1 000 000 euros pour un couple ; 4 % au-delà de 500 000 euros pour un célibataire, de 1.000.000 € pour un couple.</w:t>
      </w:r>
    </w:p>
  </w:footnote>
  <w:footnote w:id="3">
    <w:p w:rsidR="003F4FFE" w:rsidRPr="00975970" w:rsidRDefault="003F4FFE" w:rsidP="003F4FFE">
      <w:pPr>
        <w:rPr>
          <w:sz w:val="20"/>
        </w:rPr>
      </w:pPr>
      <w:r w:rsidRPr="00975970">
        <w:rPr>
          <w:rStyle w:val="Appelnotedebasdep"/>
          <w:sz w:val="20"/>
        </w:rPr>
        <w:footnoteRef/>
      </w:r>
      <w:r w:rsidRPr="00975970">
        <w:rPr>
          <w:sz w:val="20"/>
        </w:rPr>
        <w:t xml:space="preserve">  45 % à compter d'une fraction nette taxable de 1 805 677 euros. Les tranches inférieures sont r</w:t>
      </w:r>
      <w:r w:rsidR="00975970" w:rsidRPr="00975970">
        <w:rPr>
          <w:sz w:val="20"/>
        </w:rPr>
        <w:t xml:space="preserve">espectivement de 5 % (jusqu'à 8 072 euros), 10 % (entre 8 072 et 12 109 euros), 15 % (entre 12 109 et 15 932 euros), 20 % (entre 15 </w:t>
      </w:r>
      <w:r w:rsidRPr="00975970">
        <w:rPr>
          <w:sz w:val="20"/>
        </w:rPr>
        <w:t>932 et 552</w:t>
      </w:r>
      <w:r w:rsidR="00975970" w:rsidRPr="00975970">
        <w:rPr>
          <w:sz w:val="20"/>
        </w:rPr>
        <w:t xml:space="preserve"> 324 euros), 30 % (entre 552 324 et 902 838 euros), 40 % (entre 902 838 et 1 805 </w:t>
      </w:r>
      <w:r w:rsidRPr="00975970">
        <w:rPr>
          <w:sz w:val="20"/>
        </w:rPr>
        <w:t>677 euros).</w:t>
      </w:r>
    </w:p>
    <w:p w:rsidR="003F4FFE" w:rsidRPr="00975970" w:rsidRDefault="003F4FFE">
      <w:pPr>
        <w:pStyle w:val="Notedebasdepage"/>
        <w:rPr>
          <w:sz w:val="16"/>
        </w:rPr>
      </w:pPr>
    </w:p>
  </w:footnote>
  <w:footnote w:id="4">
    <w:p w:rsidR="00052869" w:rsidRPr="00052869" w:rsidRDefault="00052869" w:rsidP="00052869">
      <w:pPr>
        <w:rPr>
          <w:sz w:val="20"/>
        </w:rPr>
      </w:pPr>
      <w:r w:rsidRPr="00052869">
        <w:rPr>
          <w:rStyle w:val="Appelnotedebasdep"/>
          <w:sz w:val="20"/>
        </w:rPr>
        <w:footnoteRef/>
      </w:r>
      <w:r w:rsidRPr="00052869">
        <w:rPr>
          <w:sz w:val="20"/>
        </w:rPr>
        <w:t xml:space="preserve">  Si le contrat est souscrit avant 70 ans, l’abattement est de 152 500 euro par bénéficiaire et les produits sont imposés à hauteur de 20 % jusqu'à 700 000 euros et 31,25 % au-delà, à comparer avec une taxation marginale de 45 % pour l'immobilier transmis en ligne directe.</w:t>
      </w:r>
    </w:p>
    <w:p w:rsidR="00052869" w:rsidRDefault="00052869">
      <w:pPr>
        <w:pStyle w:val="Notedebasdepage"/>
      </w:pPr>
    </w:p>
  </w:footnote>
  <w:footnote w:id="5">
    <w:p w:rsidR="008F3CD5" w:rsidRPr="008F3CD5" w:rsidRDefault="008F3CD5" w:rsidP="008F3CD5">
      <w:pPr>
        <w:rPr>
          <w:sz w:val="20"/>
        </w:rPr>
      </w:pPr>
      <w:r w:rsidRPr="008F3CD5">
        <w:rPr>
          <w:rStyle w:val="Appelnotedebasdep"/>
          <w:sz w:val="20"/>
        </w:rPr>
        <w:footnoteRef/>
      </w:r>
      <w:r w:rsidRPr="008F3CD5">
        <w:rPr>
          <w:sz w:val="20"/>
        </w:rPr>
        <w:t xml:space="preserve"> Les droits d'enregistrement sont de 5,81 % auxquels il faut ajouter les honoraires du notaire et les débours (jusqu'à 7 % en tout en moyenne).</w:t>
      </w:r>
    </w:p>
  </w:footnote>
  <w:footnote w:id="6">
    <w:p w:rsidR="008F40C9" w:rsidRPr="008F40C9" w:rsidRDefault="008F40C9" w:rsidP="008F40C9">
      <w:pPr>
        <w:rPr>
          <w:sz w:val="20"/>
        </w:rPr>
      </w:pPr>
      <w:r w:rsidRPr="008F40C9">
        <w:rPr>
          <w:rStyle w:val="Appelnotedebasdep"/>
          <w:sz w:val="20"/>
        </w:rPr>
        <w:footnoteRef/>
      </w:r>
      <w:r w:rsidRPr="008F40C9">
        <w:rPr>
          <w:sz w:val="20"/>
        </w:rPr>
        <w:t xml:space="preserve">  A condition de ne pas avoir effectué de donation dans les 15 dernières années, les parents pourraient ainsi donner en exonération de droits 131.865 euros par enfants et par parents. Soit, en présence de quatre enfants une somme totale de 1.054.920 euros.</w:t>
      </w:r>
    </w:p>
    <w:p w:rsidR="008F40C9" w:rsidRDefault="008F40C9">
      <w:pPr>
        <w:pStyle w:val="Notedebasdepage"/>
      </w:pPr>
    </w:p>
  </w:footnote>
  <w:footnote w:id="7">
    <w:p w:rsidR="00A735D3" w:rsidRDefault="00A735D3">
      <w:pPr>
        <w:pStyle w:val="Notedebasdepage"/>
      </w:pPr>
      <w:r w:rsidRPr="00A735D3">
        <w:rPr>
          <w:rStyle w:val="Appelnotedebasdep"/>
        </w:rPr>
        <w:footnoteRef/>
      </w:r>
      <w:r w:rsidRPr="00A735D3">
        <w:t xml:space="preserve"> </w:t>
      </w:r>
      <w:r w:rsidRPr="00A735D3">
        <w:t>Au fur et à mesure que le crédit bancaire est remboursé, la valeur de la société augmente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3EE7"/>
    <w:multiLevelType w:val="hybridMultilevel"/>
    <w:tmpl w:val="AFD62C84"/>
    <w:lvl w:ilvl="0" w:tplc="84B2064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52154DE"/>
    <w:multiLevelType w:val="hybridMultilevel"/>
    <w:tmpl w:val="3FA28D0C"/>
    <w:lvl w:ilvl="0" w:tplc="838E4264">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477279A"/>
    <w:multiLevelType w:val="hybridMultilevel"/>
    <w:tmpl w:val="3AC4CC14"/>
    <w:lvl w:ilvl="0" w:tplc="0C381C76">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129361C"/>
    <w:multiLevelType w:val="hybridMultilevel"/>
    <w:tmpl w:val="2E8ABDF2"/>
    <w:lvl w:ilvl="0" w:tplc="0C742242">
      <w:start w:val="1"/>
      <w:numFmt w:val="upperRoman"/>
      <w:pStyle w:val="Titre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1"/>
  </w:num>
  <w:num w:numId="6">
    <w:abstractNumId w:val="3"/>
  </w:num>
  <w:num w:numId="7">
    <w:abstractNumId w:val="0"/>
  </w:num>
  <w:num w:numId="8">
    <w:abstractNumId w:val="0"/>
  </w:num>
  <w:num w:numId="9">
    <w:abstractNumId w:val="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stylePaneSortMethod w:val="00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98A"/>
    <w:rsid w:val="00022F3B"/>
    <w:rsid w:val="00035DE3"/>
    <w:rsid w:val="00040123"/>
    <w:rsid w:val="00052869"/>
    <w:rsid w:val="000868CC"/>
    <w:rsid w:val="000C505B"/>
    <w:rsid w:val="001507A4"/>
    <w:rsid w:val="00152818"/>
    <w:rsid w:val="0019507D"/>
    <w:rsid w:val="001E6C2A"/>
    <w:rsid w:val="00230C80"/>
    <w:rsid w:val="00296ECF"/>
    <w:rsid w:val="002A5E6F"/>
    <w:rsid w:val="002F29B9"/>
    <w:rsid w:val="003175D6"/>
    <w:rsid w:val="00337A44"/>
    <w:rsid w:val="003C77FB"/>
    <w:rsid w:val="003F4FFE"/>
    <w:rsid w:val="004152F3"/>
    <w:rsid w:val="00440952"/>
    <w:rsid w:val="00464E01"/>
    <w:rsid w:val="004C273A"/>
    <w:rsid w:val="00512EC8"/>
    <w:rsid w:val="005130A2"/>
    <w:rsid w:val="00526C89"/>
    <w:rsid w:val="00591D6C"/>
    <w:rsid w:val="0066565C"/>
    <w:rsid w:val="00680B2A"/>
    <w:rsid w:val="006A5014"/>
    <w:rsid w:val="006C6729"/>
    <w:rsid w:val="006E2D02"/>
    <w:rsid w:val="00710C6C"/>
    <w:rsid w:val="00772F29"/>
    <w:rsid w:val="0078413B"/>
    <w:rsid w:val="007E29E9"/>
    <w:rsid w:val="00811A37"/>
    <w:rsid w:val="0083138E"/>
    <w:rsid w:val="008416D5"/>
    <w:rsid w:val="0088223D"/>
    <w:rsid w:val="008F3CD5"/>
    <w:rsid w:val="008F40C9"/>
    <w:rsid w:val="009309D3"/>
    <w:rsid w:val="00941C29"/>
    <w:rsid w:val="009425E0"/>
    <w:rsid w:val="0095321F"/>
    <w:rsid w:val="00975970"/>
    <w:rsid w:val="009B5FEE"/>
    <w:rsid w:val="00A20D8F"/>
    <w:rsid w:val="00A61897"/>
    <w:rsid w:val="00A735D3"/>
    <w:rsid w:val="00A80880"/>
    <w:rsid w:val="00B5564A"/>
    <w:rsid w:val="00B8746F"/>
    <w:rsid w:val="00BA65F3"/>
    <w:rsid w:val="00C248D5"/>
    <w:rsid w:val="00C56ABA"/>
    <w:rsid w:val="00CF098A"/>
    <w:rsid w:val="00CF6C47"/>
    <w:rsid w:val="00D1723B"/>
    <w:rsid w:val="00DF310D"/>
    <w:rsid w:val="00E10819"/>
    <w:rsid w:val="00E43F42"/>
    <w:rsid w:val="00E53692"/>
    <w:rsid w:val="00F12C6F"/>
    <w:rsid w:val="00F72AF9"/>
    <w:rsid w:val="00F9271C"/>
    <w:rsid w:val="00F94525"/>
    <w:rsid w:val="00FB3EE6"/>
    <w:rsid w:val="00FE3E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149FD"/>
  <w15:chartTrackingRefBased/>
  <w15:docId w15:val="{51702E85-9E4B-4A01-8188-3EFA6D44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C47"/>
    <w:pPr>
      <w:spacing w:before="240" w:after="240" w:line="240" w:lineRule="auto"/>
      <w:jc w:val="both"/>
    </w:pPr>
    <w:rPr>
      <w:rFonts w:cs="Times New Roman"/>
      <w:sz w:val="24"/>
      <w:szCs w:val="24"/>
      <w:lang w:eastAsia="fr-FR"/>
    </w:rPr>
  </w:style>
  <w:style w:type="paragraph" w:styleId="Titre1">
    <w:name w:val="heading 1"/>
    <w:basedOn w:val="Normal"/>
    <w:next w:val="Normal"/>
    <w:link w:val="Titre1Car"/>
    <w:uiPriority w:val="9"/>
    <w:qFormat/>
    <w:rsid w:val="00CF6C47"/>
    <w:pPr>
      <w:keepNext/>
      <w:keepLines/>
      <w:numPr>
        <w:numId w:val="1"/>
      </w:numPr>
      <w:ind w:left="357" w:hanging="357"/>
      <w:outlineLvl w:val="0"/>
    </w:pPr>
    <w:rPr>
      <w:rFonts w:ascii="Calibri" w:eastAsiaTheme="majorEastAsia" w:hAnsi="Calibri" w:cstheme="majorBidi"/>
      <w:b/>
      <w:sz w:val="28"/>
      <w:szCs w:val="32"/>
    </w:rPr>
  </w:style>
  <w:style w:type="paragraph" w:styleId="Titre2">
    <w:name w:val="heading 2"/>
    <w:basedOn w:val="Normal"/>
    <w:next w:val="Normal"/>
    <w:link w:val="Titre2Car"/>
    <w:uiPriority w:val="9"/>
    <w:unhideWhenUsed/>
    <w:qFormat/>
    <w:rsid w:val="000C505B"/>
    <w:pPr>
      <w:keepNext/>
      <w:keepLines/>
      <w:spacing w:before="120" w:after="120"/>
      <w:ind w:left="714" w:hanging="357"/>
      <w:outlineLvl w:val="1"/>
    </w:pPr>
    <w:rPr>
      <w:rFonts w:asciiTheme="majorHAnsi" w:eastAsiaTheme="majorEastAsia" w:hAnsiTheme="majorHAnsi" w:cstheme="majorBidi"/>
      <w:b/>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F6C47"/>
    <w:rPr>
      <w:rFonts w:ascii="Calibri" w:eastAsiaTheme="majorEastAsia" w:hAnsi="Calibri" w:cstheme="majorBidi"/>
      <w:b/>
      <w:sz w:val="28"/>
      <w:szCs w:val="32"/>
      <w:lang w:eastAsia="fr-FR"/>
    </w:rPr>
  </w:style>
  <w:style w:type="paragraph" w:styleId="Citationintense">
    <w:name w:val="Intense Quote"/>
    <w:basedOn w:val="Normal"/>
    <w:next w:val="Normal"/>
    <w:link w:val="CitationintenseCar"/>
    <w:uiPriority w:val="30"/>
    <w:qFormat/>
    <w:rsid w:val="00CF6C47"/>
    <w:pPr>
      <w:pBdr>
        <w:top w:val="single" w:sz="4" w:space="10" w:color="5B9BD5" w:themeColor="accent1"/>
        <w:bottom w:val="single" w:sz="4" w:space="10" w:color="5B9BD5" w:themeColor="accent1"/>
      </w:pBdr>
      <w:spacing w:before="360" w:after="360"/>
      <w:ind w:left="864" w:right="864"/>
      <w:jc w:val="center"/>
    </w:pPr>
    <w:rPr>
      <w:i/>
      <w:iCs/>
      <w:color w:val="5B9BD5" w:themeColor="accent1"/>
      <w:sz w:val="28"/>
    </w:rPr>
  </w:style>
  <w:style w:type="character" w:customStyle="1" w:styleId="CitationintenseCar">
    <w:name w:val="Citation intense Car"/>
    <w:basedOn w:val="Policepardfaut"/>
    <w:link w:val="Citationintense"/>
    <w:uiPriority w:val="30"/>
    <w:rsid w:val="00CF6C47"/>
    <w:rPr>
      <w:rFonts w:cs="Times New Roman"/>
      <w:i/>
      <w:iCs/>
      <w:color w:val="5B9BD5" w:themeColor="accent1"/>
      <w:sz w:val="28"/>
      <w:szCs w:val="24"/>
      <w:lang w:eastAsia="fr-FR"/>
    </w:rPr>
  </w:style>
  <w:style w:type="character" w:customStyle="1" w:styleId="Titre2Car">
    <w:name w:val="Titre 2 Car"/>
    <w:basedOn w:val="Policepardfaut"/>
    <w:link w:val="Titre2"/>
    <w:uiPriority w:val="9"/>
    <w:rsid w:val="000C505B"/>
    <w:rPr>
      <w:rFonts w:asciiTheme="majorHAnsi" w:eastAsiaTheme="majorEastAsia" w:hAnsiTheme="majorHAnsi" w:cstheme="majorBidi"/>
      <w:b/>
      <w:sz w:val="26"/>
      <w:szCs w:val="26"/>
      <w:lang w:eastAsia="fr-FR"/>
    </w:rPr>
  </w:style>
  <w:style w:type="paragraph" w:customStyle="1" w:styleId="Style3">
    <w:name w:val="Style3"/>
    <w:basedOn w:val="Normal"/>
    <w:next w:val="Normal"/>
    <w:link w:val="Style3Car"/>
    <w:qFormat/>
    <w:rsid w:val="000C505B"/>
  </w:style>
  <w:style w:type="character" w:customStyle="1" w:styleId="Style3Car">
    <w:name w:val="Style3 Car"/>
    <w:basedOn w:val="Policepardfaut"/>
    <w:link w:val="Style3"/>
    <w:rsid w:val="00CF6C47"/>
    <w:rPr>
      <w:rFonts w:cs="Times New Roman"/>
      <w:sz w:val="24"/>
      <w:szCs w:val="24"/>
      <w:lang w:eastAsia="fr-FR"/>
    </w:rPr>
  </w:style>
  <w:style w:type="paragraph" w:customStyle="1" w:styleId="Titre3">
    <w:name w:val="Titre3"/>
    <w:basedOn w:val="Normal"/>
    <w:next w:val="Normal"/>
    <w:link w:val="Titre3Car"/>
    <w:qFormat/>
    <w:rsid w:val="00CF6C47"/>
    <w:pPr>
      <w:spacing w:before="120" w:after="120"/>
      <w:ind w:left="714" w:hanging="357"/>
    </w:pPr>
  </w:style>
  <w:style w:type="character" w:customStyle="1" w:styleId="Titre3Car">
    <w:name w:val="Titre3 Car"/>
    <w:basedOn w:val="Policepardfaut"/>
    <w:link w:val="Titre3"/>
    <w:rsid w:val="00CF6C47"/>
    <w:rPr>
      <w:rFonts w:cs="Times New Roman"/>
      <w:sz w:val="24"/>
      <w:szCs w:val="24"/>
      <w:lang w:eastAsia="fr-FR"/>
    </w:rPr>
  </w:style>
  <w:style w:type="paragraph" w:styleId="NormalWeb">
    <w:name w:val="Normal (Web)"/>
    <w:basedOn w:val="Normal"/>
    <w:uiPriority w:val="99"/>
    <w:semiHidden/>
    <w:unhideWhenUsed/>
    <w:rsid w:val="00CF098A"/>
    <w:pPr>
      <w:spacing w:before="100" w:beforeAutospacing="1" w:after="100" w:afterAutospacing="1"/>
      <w:jc w:val="left"/>
    </w:pPr>
    <w:rPr>
      <w:rFonts w:ascii="Times New Roman" w:eastAsia="Times New Roman" w:hAnsi="Times New Roman"/>
    </w:rPr>
  </w:style>
  <w:style w:type="character" w:styleId="lev">
    <w:name w:val="Strong"/>
    <w:basedOn w:val="Policepardfaut"/>
    <w:uiPriority w:val="22"/>
    <w:qFormat/>
    <w:rsid w:val="00CF098A"/>
    <w:rPr>
      <w:b/>
      <w:bCs/>
    </w:rPr>
  </w:style>
  <w:style w:type="character" w:styleId="Accentuation">
    <w:name w:val="Emphasis"/>
    <w:basedOn w:val="Policepardfaut"/>
    <w:uiPriority w:val="20"/>
    <w:qFormat/>
    <w:rsid w:val="00CF098A"/>
    <w:rPr>
      <w:i/>
      <w:iCs/>
    </w:rPr>
  </w:style>
  <w:style w:type="paragraph" w:styleId="Notedebasdepage">
    <w:name w:val="footnote text"/>
    <w:basedOn w:val="Normal"/>
    <w:link w:val="NotedebasdepageCar"/>
    <w:uiPriority w:val="99"/>
    <w:semiHidden/>
    <w:unhideWhenUsed/>
    <w:rsid w:val="00710C6C"/>
    <w:pPr>
      <w:spacing w:before="0" w:after="0"/>
    </w:pPr>
    <w:rPr>
      <w:sz w:val="20"/>
      <w:szCs w:val="20"/>
    </w:rPr>
  </w:style>
  <w:style w:type="character" w:customStyle="1" w:styleId="NotedebasdepageCar">
    <w:name w:val="Note de bas de page Car"/>
    <w:basedOn w:val="Policepardfaut"/>
    <w:link w:val="Notedebasdepage"/>
    <w:uiPriority w:val="99"/>
    <w:semiHidden/>
    <w:rsid w:val="00710C6C"/>
    <w:rPr>
      <w:rFonts w:cs="Times New Roman"/>
      <w:sz w:val="20"/>
      <w:szCs w:val="20"/>
      <w:lang w:eastAsia="fr-FR"/>
    </w:rPr>
  </w:style>
  <w:style w:type="character" w:styleId="Appelnotedebasdep">
    <w:name w:val="footnote reference"/>
    <w:basedOn w:val="Policepardfaut"/>
    <w:uiPriority w:val="99"/>
    <w:semiHidden/>
    <w:unhideWhenUsed/>
    <w:rsid w:val="00710C6C"/>
    <w:rPr>
      <w:vertAlign w:val="superscript"/>
    </w:rPr>
  </w:style>
  <w:style w:type="paragraph" w:styleId="Paragraphedeliste">
    <w:name w:val="List Paragraph"/>
    <w:basedOn w:val="Normal"/>
    <w:uiPriority w:val="34"/>
    <w:qFormat/>
    <w:rsid w:val="006E2D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781930">
      <w:bodyDiv w:val="1"/>
      <w:marLeft w:val="0"/>
      <w:marRight w:val="0"/>
      <w:marTop w:val="0"/>
      <w:marBottom w:val="0"/>
      <w:divBdr>
        <w:top w:val="none" w:sz="0" w:space="0" w:color="auto"/>
        <w:left w:val="none" w:sz="0" w:space="0" w:color="auto"/>
        <w:bottom w:val="none" w:sz="0" w:space="0" w:color="auto"/>
        <w:right w:val="none" w:sz="0" w:space="0" w:color="auto"/>
      </w:divBdr>
      <w:divsChild>
        <w:div w:id="891695325">
          <w:marLeft w:val="0"/>
          <w:marRight w:val="0"/>
          <w:marTop w:val="0"/>
          <w:marBottom w:val="0"/>
          <w:divBdr>
            <w:top w:val="none" w:sz="0" w:space="0" w:color="auto"/>
            <w:left w:val="none" w:sz="0" w:space="0" w:color="auto"/>
            <w:bottom w:val="none" w:sz="0" w:space="0" w:color="auto"/>
            <w:right w:val="none" w:sz="0" w:space="0" w:color="auto"/>
          </w:divBdr>
        </w:div>
        <w:div w:id="430392096">
          <w:marLeft w:val="0"/>
          <w:marRight w:val="0"/>
          <w:marTop w:val="0"/>
          <w:marBottom w:val="0"/>
          <w:divBdr>
            <w:top w:val="none" w:sz="0" w:space="0" w:color="auto"/>
            <w:left w:val="none" w:sz="0" w:space="0" w:color="auto"/>
            <w:bottom w:val="none" w:sz="0" w:space="0" w:color="auto"/>
            <w:right w:val="none" w:sz="0" w:space="0" w:color="auto"/>
          </w:divBdr>
        </w:div>
      </w:divsChild>
    </w:div>
    <w:div w:id="1497460005">
      <w:bodyDiv w:val="1"/>
      <w:marLeft w:val="0"/>
      <w:marRight w:val="0"/>
      <w:marTop w:val="0"/>
      <w:marBottom w:val="0"/>
      <w:divBdr>
        <w:top w:val="none" w:sz="0" w:space="0" w:color="auto"/>
        <w:left w:val="none" w:sz="0" w:space="0" w:color="auto"/>
        <w:bottom w:val="none" w:sz="0" w:space="0" w:color="auto"/>
        <w:right w:val="none" w:sz="0" w:space="0" w:color="auto"/>
      </w:divBdr>
    </w:div>
    <w:div w:id="1734430905">
      <w:bodyDiv w:val="1"/>
      <w:marLeft w:val="0"/>
      <w:marRight w:val="0"/>
      <w:marTop w:val="0"/>
      <w:marBottom w:val="0"/>
      <w:divBdr>
        <w:top w:val="none" w:sz="0" w:space="0" w:color="auto"/>
        <w:left w:val="none" w:sz="0" w:space="0" w:color="auto"/>
        <w:bottom w:val="none" w:sz="0" w:space="0" w:color="auto"/>
        <w:right w:val="none" w:sz="0" w:space="0" w:color="auto"/>
      </w:divBdr>
    </w:div>
    <w:div w:id="200515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Feuille_de_calcul_Microsoft_Excel2.xlsx"/><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package" Target="embeddings/Feuille_de_calcul_Microsoft_Excel6.xls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Feuille_de_calcul_Microsoft_Excel4.xlsx"/><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Feuille_de_calcul_Microsoft_Excel1.xlsx"/><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Feuille_de_calcul_Microsoft_Excel3.xlsx"/><Relationship Id="rId23" Type="http://schemas.openxmlformats.org/officeDocument/2006/relationships/package" Target="embeddings/Feuille_de_calcul_Microsoft_Excel7.xlsx"/><Relationship Id="rId10" Type="http://schemas.openxmlformats.org/officeDocument/2006/relationships/image" Target="media/image2.emf"/><Relationship Id="rId19" Type="http://schemas.openxmlformats.org/officeDocument/2006/relationships/package" Target="embeddings/Feuille_de_calcul_Microsoft_Excel5.xlsx"/><Relationship Id="rId4" Type="http://schemas.openxmlformats.org/officeDocument/2006/relationships/settings" Target="settings.xml"/><Relationship Id="rId9" Type="http://schemas.openxmlformats.org/officeDocument/2006/relationships/package" Target="embeddings/Feuille_de_calcul_Microsoft_Excel.xlsx"/><Relationship Id="rId14" Type="http://schemas.openxmlformats.org/officeDocument/2006/relationships/image" Target="media/image4.emf"/><Relationship Id="rId22" Type="http://schemas.openxmlformats.org/officeDocument/2006/relationships/image" Target="media/image8.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E6420-8379-4796-908D-EF77AA1EC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9</Pages>
  <Words>1723</Words>
  <Characters>9479</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AGEFI</Company>
  <LinksUpToDate>false</LinksUpToDate>
  <CharactersWithSpaces>11180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Bertille GILLE</dc:creator>
  <cp:keywords/>
  <dc:description/>
  <cp:lastModifiedBy>Bertille GILLE</cp:lastModifiedBy>
  <cp:revision>30</cp:revision>
  <dcterms:created xsi:type="dcterms:W3CDTF">2018-08-21T12:28:00Z</dcterms:created>
  <dcterms:modified xsi:type="dcterms:W3CDTF">2018-08-23T11:06:00Z</dcterms:modified>
</cp:coreProperties>
</file>