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39" w:rsidRDefault="00781228" w:rsidP="00A124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bookmarkStart w:id="0" w:name="_GoBack"/>
      <w:bookmarkEnd w:id="0"/>
      <w:r w:rsidRPr="001E08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Anticiper </w:t>
      </w:r>
      <w:r w:rsidR="00EF5A97" w:rsidRPr="001E08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 transmission d</w:t>
      </w:r>
      <w:r w:rsidRPr="001E08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e son </w:t>
      </w:r>
      <w:r w:rsidR="003E0343" w:rsidRPr="001E08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entreprise</w:t>
      </w:r>
      <w:r w:rsidR="00A1243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 : </w:t>
      </w:r>
    </w:p>
    <w:p w:rsidR="00E600CE" w:rsidRDefault="00A12439" w:rsidP="00954F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781228" w:rsidRPr="001E08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donati</w:t>
      </w:r>
      <w:r w:rsidR="00954FC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on-partage transgénérationnelle</w:t>
      </w:r>
    </w:p>
    <w:p w:rsidR="00B55C05" w:rsidRPr="00954FC0" w:rsidRDefault="00B55C05" w:rsidP="00954F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2D5DEF" w:rsidRPr="00CA3FF8" w:rsidRDefault="00EB6D17" w:rsidP="00CA3FF8">
      <w:pPr>
        <w:jc w:val="both"/>
        <w:rPr>
          <w:i/>
          <w:sz w:val="28"/>
          <w:szCs w:val="28"/>
        </w:rPr>
      </w:pPr>
      <w:r w:rsidRPr="00CA3FF8">
        <w:rPr>
          <w:i/>
          <w:sz w:val="28"/>
          <w:szCs w:val="28"/>
        </w:rPr>
        <w:t xml:space="preserve">Depuis la loi du 23 juin 2006, il est </w:t>
      </w:r>
      <w:r w:rsidR="002D5DEF" w:rsidRPr="00CA3FF8">
        <w:rPr>
          <w:i/>
          <w:sz w:val="28"/>
          <w:szCs w:val="28"/>
        </w:rPr>
        <w:t xml:space="preserve">permis </w:t>
      </w:r>
      <w:r w:rsidRPr="00CA3FF8">
        <w:rPr>
          <w:i/>
          <w:sz w:val="28"/>
          <w:szCs w:val="28"/>
        </w:rPr>
        <w:t xml:space="preserve">à un donateur </w:t>
      </w:r>
      <w:r w:rsidR="005323C8" w:rsidRPr="00CA3FF8">
        <w:rPr>
          <w:i/>
          <w:sz w:val="28"/>
          <w:szCs w:val="28"/>
        </w:rPr>
        <w:t xml:space="preserve">de gratifier </w:t>
      </w:r>
      <w:r w:rsidR="006D6F83" w:rsidRPr="00CA3FF8">
        <w:rPr>
          <w:i/>
          <w:sz w:val="28"/>
          <w:szCs w:val="28"/>
        </w:rPr>
        <w:t xml:space="preserve">ses </w:t>
      </w:r>
      <w:r w:rsidR="00A859C7" w:rsidRPr="00CA3FF8">
        <w:rPr>
          <w:i/>
          <w:sz w:val="28"/>
          <w:szCs w:val="28"/>
        </w:rPr>
        <w:t>descendants de degrés différents</w:t>
      </w:r>
      <w:r w:rsidR="004B6DAE" w:rsidRPr="00CA3FF8">
        <w:rPr>
          <w:i/>
          <w:sz w:val="28"/>
          <w:szCs w:val="28"/>
        </w:rPr>
        <w:t xml:space="preserve"> </w:t>
      </w:r>
      <w:r w:rsidRPr="00CA3FF8">
        <w:rPr>
          <w:i/>
          <w:sz w:val="28"/>
          <w:szCs w:val="28"/>
        </w:rPr>
        <w:t xml:space="preserve">au sein de la même donation-partage </w:t>
      </w:r>
      <w:r w:rsidR="006D6F83" w:rsidRPr="00CA3FF8">
        <w:rPr>
          <w:i/>
          <w:sz w:val="28"/>
          <w:szCs w:val="28"/>
        </w:rPr>
        <w:t xml:space="preserve">en la rendant </w:t>
      </w:r>
      <w:r w:rsidR="00A859C7" w:rsidRPr="00CA3FF8">
        <w:rPr>
          <w:i/>
          <w:sz w:val="28"/>
          <w:szCs w:val="28"/>
        </w:rPr>
        <w:t xml:space="preserve">ainsi </w:t>
      </w:r>
      <w:r w:rsidRPr="00CA3FF8">
        <w:rPr>
          <w:i/>
          <w:sz w:val="28"/>
          <w:szCs w:val="28"/>
        </w:rPr>
        <w:t>« </w:t>
      </w:r>
      <w:r w:rsidR="006D6F83" w:rsidRPr="00CA3FF8">
        <w:rPr>
          <w:i/>
          <w:sz w:val="28"/>
          <w:szCs w:val="28"/>
        </w:rPr>
        <w:t>transgénérationnelle</w:t>
      </w:r>
      <w:r w:rsidRPr="00CA3FF8">
        <w:rPr>
          <w:i/>
          <w:sz w:val="28"/>
          <w:szCs w:val="28"/>
        </w:rPr>
        <w:t> »</w:t>
      </w:r>
    </w:p>
    <w:p w:rsidR="00AD39A1" w:rsidRPr="00CA3FF8" w:rsidRDefault="009639B7" w:rsidP="00BC6433">
      <w:pPr>
        <w:jc w:val="both"/>
        <w:rPr>
          <w:i/>
          <w:sz w:val="28"/>
          <w:szCs w:val="28"/>
        </w:rPr>
      </w:pPr>
      <w:r w:rsidRPr="00CA3FF8">
        <w:rPr>
          <w:i/>
          <w:sz w:val="28"/>
          <w:szCs w:val="28"/>
        </w:rPr>
        <w:t xml:space="preserve">Le dirigeant actionnaire souhaitant anticiper la </w:t>
      </w:r>
      <w:r w:rsidR="002D5DEF" w:rsidRPr="00CA3FF8">
        <w:rPr>
          <w:i/>
          <w:color w:val="000000" w:themeColor="text1"/>
          <w:sz w:val="28"/>
          <w:szCs w:val="28"/>
        </w:rPr>
        <w:t xml:space="preserve">transmission </w:t>
      </w:r>
      <w:r w:rsidRPr="00CA3FF8">
        <w:rPr>
          <w:i/>
          <w:sz w:val="28"/>
          <w:szCs w:val="28"/>
        </w:rPr>
        <w:t xml:space="preserve">de son </w:t>
      </w:r>
      <w:r w:rsidR="002D5DEF" w:rsidRPr="00CA3FF8">
        <w:rPr>
          <w:i/>
          <w:sz w:val="28"/>
          <w:szCs w:val="28"/>
        </w:rPr>
        <w:t xml:space="preserve">entreprise </w:t>
      </w:r>
      <w:r w:rsidR="00EB6D17" w:rsidRPr="00CA3FF8">
        <w:rPr>
          <w:i/>
          <w:sz w:val="28"/>
          <w:szCs w:val="28"/>
        </w:rPr>
        <w:t>peut ainsi</w:t>
      </w:r>
      <w:r w:rsidRPr="00CA3FF8">
        <w:rPr>
          <w:i/>
          <w:sz w:val="28"/>
          <w:szCs w:val="28"/>
        </w:rPr>
        <w:t xml:space="preserve"> réfléchir</w:t>
      </w:r>
      <w:r w:rsidR="00E600CE" w:rsidRPr="00CA3FF8">
        <w:rPr>
          <w:i/>
          <w:sz w:val="28"/>
          <w:szCs w:val="28"/>
        </w:rPr>
        <w:t xml:space="preserve"> </w:t>
      </w:r>
      <w:r w:rsidR="00E60A6B" w:rsidRPr="00CA3FF8">
        <w:rPr>
          <w:i/>
          <w:sz w:val="28"/>
          <w:szCs w:val="28"/>
        </w:rPr>
        <w:t>à l</w:t>
      </w:r>
      <w:r w:rsidR="00BD15F0" w:rsidRPr="00CA3FF8">
        <w:rPr>
          <w:i/>
          <w:sz w:val="28"/>
          <w:szCs w:val="28"/>
        </w:rPr>
        <w:t xml:space="preserve">a pertinence </w:t>
      </w:r>
      <w:r w:rsidR="00E60A6B" w:rsidRPr="00CA3FF8">
        <w:rPr>
          <w:i/>
          <w:sz w:val="28"/>
          <w:szCs w:val="28"/>
        </w:rPr>
        <w:t xml:space="preserve">de celle-ci </w:t>
      </w:r>
      <w:r w:rsidR="00BD15F0" w:rsidRPr="00CA3FF8">
        <w:rPr>
          <w:i/>
          <w:sz w:val="28"/>
          <w:szCs w:val="28"/>
        </w:rPr>
        <w:t xml:space="preserve">au regard de sa situation </w:t>
      </w:r>
      <w:r w:rsidR="001C7FB8" w:rsidRPr="00CA3FF8">
        <w:rPr>
          <w:i/>
          <w:sz w:val="28"/>
          <w:szCs w:val="28"/>
        </w:rPr>
        <w:t>personnelle et familiale</w:t>
      </w:r>
    </w:p>
    <w:p w:rsidR="00E60A6B" w:rsidRPr="00954FC0" w:rsidRDefault="00F56E92" w:rsidP="00E60A6B">
      <w:pPr>
        <w:jc w:val="both"/>
        <w:rPr>
          <w:sz w:val="24"/>
          <w:szCs w:val="24"/>
        </w:rPr>
      </w:pPr>
      <w:r w:rsidRPr="00F56E92">
        <w:rPr>
          <w:sz w:val="24"/>
          <w:szCs w:val="24"/>
        </w:rPr>
        <w:t xml:space="preserve">Donner </w:t>
      </w:r>
      <w:r w:rsidR="00E60A6B">
        <w:rPr>
          <w:sz w:val="24"/>
          <w:szCs w:val="24"/>
        </w:rPr>
        <w:t xml:space="preserve">de son vivant </w:t>
      </w:r>
      <w:r w:rsidR="00552A66">
        <w:rPr>
          <w:sz w:val="24"/>
          <w:szCs w:val="24"/>
        </w:rPr>
        <w:t>permet</w:t>
      </w:r>
      <w:r>
        <w:rPr>
          <w:sz w:val="24"/>
          <w:szCs w:val="24"/>
        </w:rPr>
        <w:t xml:space="preserve"> </w:t>
      </w:r>
      <w:r w:rsidR="00473058">
        <w:rPr>
          <w:sz w:val="24"/>
          <w:szCs w:val="24"/>
        </w:rPr>
        <w:t xml:space="preserve">au dirigeant </w:t>
      </w:r>
      <w:r>
        <w:rPr>
          <w:sz w:val="24"/>
          <w:szCs w:val="24"/>
        </w:rPr>
        <w:t xml:space="preserve">d’organiser </w:t>
      </w:r>
      <w:r w:rsidR="00EB6D17">
        <w:rPr>
          <w:sz w:val="24"/>
          <w:szCs w:val="24"/>
        </w:rPr>
        <w:t xml:space="preserve">dans les meilleures conditions </w:t>
      </w:r>
      <w:r>
        <w:rPr>
          <w:sz w:val="24"/>
          <w:szCs w:val="24"/>
        </w:rPr>
        <w:t xml:space="preserve">les modalités juridiques </w:t>
      </w:r>
      <w:r w:rsidR="00E8431C">
        <w:rPr>
          <w:sz w:val="24"/>
          <w:szCs w:val="24"/>
        </w:rPr>
        <w:t xml:space="preserve">et fiscales de la transmission de son </w:t>
      </w:r>
      <w:r w:rsidR="00631E9D">
        <w:rPr>
          <w:sz w:val="24"/>
          <w:szCs w:val="24"/>
        </w:rPr>
        <w:t>entreprise</w:t>
      </w:r>
      <w:r w:rsidR="00E8431C">
        <w:rPr>
          <w:sz w:val="24"/>
          <w:szCs w:val="24"/>
        </w:rPr>
        <w:t xml:space="preserve">. </w:t>
      </w:r>
      <w:r w:rsidR="001C7FB8">
        <w:rPr>
          <w:sz w:val="24"/>
          <w:szCs w:val="24"/>
        </w:rPr>
        <w:t>S</w:t>
      </w:r>
      <w:r w:rsidR="00473058">
        <w:rPr>
          <w:sz w:val="24"/>
          <w:szCs w:val="24"/>
        </w:rPr>
        <w:t xml:space="preserve">on âge avançant, </w:t>
      </w:r>
      <w:r w:rsidR="00473058" w:rsidRPr="002B38E7">
        <w:rPr>
          <w:sz w:val="24"/>
          <w:szCs w:val="24"/>
        </w:rPr>
        <w:t xml:space="preserve">c’est peut-être le moment pour lui de mener une réflexion familiale autour de la transmission du capital </w:t>
      </w:r>
      <w:r w:rsidR="00473058">
        <w:rPr>
          <w:sz w:val="24"/>
          <w:szCs w:val="24"/>
        </w:rPr>
        <w:t xml:space="preserve">de celle-ci afin d’allier sécurité juridique, opportunité économique et contraintes fiscales.  </w:t>
      </w:r>
    </w:p>
    <w:p w:rsidR="00E60A6B" w:rsidRPr="00E60A6B" w:rsidRDefault="00E60A6B" w:rsidP="00BC64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Transmettre sur plusieurs générations </w:t>
      </w:r>
    </w:p>
    <w:p w:rsidR="00AB0B5D" w:rsidRPr="00AB0B5D" w:rsidRDefault="00A46B7D" w:rsidP="00AB0B5D">
      <w:pPr>
        <w:pStyle w:val="Notedebasdepage"/>
        <w:jc w:val="both"/>
        <w:rPr>
          <w:sz w:val="24"/>
          <w:szCs w:val="24"/>
        </w:rPr>
      </w:pPr>
      <w:r>
        <w:rPr>
          <w:sz w:val="24"/>
          <w:szCs w:val="24"/>
        </w:rPr>
        <w:t>Avec l’allongement de la durée de vie et d</w:t>
      </w:r>
      <w:r w:rsidR="00943E78" w:rsidRPr="002B38E7">
        <w:rPr>
          <w:sz w:val="24"/>
          <w:szCs w:val="24"/>
        </w:rPr>
        <w:t xml:space="preserve">ans l’hypothèse assez </w:t>
      </w:r>
      <w:r>
        <w:rPr>
          <w:sz w:val="24"/>
          <w:szCs w:val="24"/>
        </w:rPr>
        <w:t>fréquente</w:t>
      </w:r>
      <w:r w:rsidR="00943E78" w:rsidRPr="002B38E7">
        <w:rPr>
          <w:sz w:val="24"/>
          <w:szCs w:val="24"/>
        </w:rPr>
        <w:t xml:space="preserve"> où ses enfants seraient déjà bien installés, </w:t>
      </w:r>
      <w:r w:rsidR="0077396C">
        <w:rPr>
          <w:sz w:val="24"/>
          <w:szCs w:val="24"/>
        </w:rPr>
        <w:t xml:space="preserve">le dirigeant pourrait réfléchir à </w:t>
      </w:r>
      <w:r w:rsidR="0077396C" w:rsidRPr="002B38E7">
        <w:rPr>
          <w:sz w:val="24"/>
          <w:szCs w:val="24"/>
        </w:rPr>
        <w:t>anticiper</w:t>
      </w:r>
      <w:r w:rsidR="0077396C">
        <w:rPr>
          <w:sz w:val="24"/>
          <w:szCs w:val="24"/>
        </w:rPr>
        <w:t xml:space="preserve"> le partage de son entreprise en réalisant </w:t>
      </w:r>
      <w:r w:rsidR="00943E78" w:rsidRPr="002B38E7">
        <w:rPr>
          <w:sz w:val="24"/>
          <w:szCs w:val="24"/>
        </w:rPr>
        <w:t>une donation-partage tran</w:t>
      </w:r>
      <w:r w:rsidR="00E8431C">
        <w:rPr>
          <w:sz w:val="24"/>
          <w:szCs w:val="24"/>
        </w:rPr>
        <w:t>s</w:t>
      </w:r>
      <w:r w:rsidR="00943E78" w:rsidRPr="002B38E7">
        <w:rPr>
          <w:sz w:val="24"/>
          <w:szCs w:val="24"/>
        </w:rPr>
        <w:t xml:space="preserve">générationnelle </w:t>
      </w:r>
      <w:r w:rsidR="0077396C">
        <w:rPr>
          <w:sz w:val="24"/>
          <w:szCs w:val="24"/>
        </w:rPr>
        <w:t>de ses</w:t>
      </w:r>
      <w:r w:rsidR="006D74FF">
        <w:rPr>
          <w:sz w:val="24"/>
          <w:szCs w:val="24"/>
        </w:rPr>
        <w:t xml:space="preserve"> titres </w:t>
      </w:r>
      <w:r w:rsidR="00943E78" w:rsidRPr="002B38E7">
        <w:rPr>
          <w:sz w:val="24"/>
          <w:szCs w:val="24"/>
        </w:rPr>
        <w:t xml:space="preserve">au profit </w:t>
      </w:r>
      <w:r>
        <w:rPr>
          <w:sz w:val="24"/>
          <w:szCs w:val="24"/>
        </w:rPr>
        <w:t xml:space="preserve">non seulement de ses enfants mais aussi </w:t>
      </w:r>
      <w:r w:rsidR="00943E78" w:rsidRPr="002B38E7">
        <w:rPr>
          <w:sz w:val="24"/>
          <w:szCs w:val="24"/>
        </w:rPr>
        <w:t>de ses petits-enfants</w:t>
      </w:r>
      <w:r w:rsidR="00412877">
        <w:rPr>
          <w:sz w:val="24"/>
          <w:szCs w:val="24"/>
        </w:rPr>
        <w:t xml:space="preserve"> voire </w:t>
      </w:r>
      <w:r w:rsidR="00781228">
        <w:rPr>
          <w:sz w:val="24"/>
          <w:szCs w:val="24"/>
        </w:rPr>
        <w:t xml:space="preserve">de </w:t>
      </w:r>
      <w:r w:rsidR="00412877">
        <w:rPr>
          <w:sz w:val="24"/>
          <w:szCs w:val="24"/>
        </w:rPr>
        <w:t>ses arrières petits-enfants</w:t>
      </w:r>
      <w:r w:rsidR="00943E78" w:rsidRPr="002B38E7">
        <w:rPr>
          <w:rStyle w:val="Appelnotedebasdep"/>
          <w:sz w:val="24"/>
          <w:szCs w:val="24"/>
        </w:rPr>
        <w:footnoteReference w:id="1"/>
      </w:r>
      <w:r w:rsidR="00943E78" w:rsidRPr="002B38E7">
        <w:rPr>
          <w:sz w:val="24"/>
          <w:szCs w:val="24"/>
        </w:rPr>
        <w:t xml:space="preserve">. </w:t>
      </w:r>
      <w:r w:rsidR="00AB0B5D">
        <w:rPr>
          <w:sz w:val="24"/>
          <w:szCs w:val="24"/>
        </w:rPr>
        <w:t>C</w:t>
      </w:r>
      <w:r w:rsidR="00EB6D17">
        <w:rPr>
          <w:sz w:val="24"/>
          <w:szCs w:val="24"/>
        </w:rPr>
        <w:t>haque enfant</w:t>
      </w:r>
      <w:r w:rsidR="00BF6FB0">
        <w:rPr>
          <w:sz w:val="24"/>
          <w:szCs w:val="24"/>
        </w:rPr>
        <w:t xml:space="preserve"> du dirigeant </w:t>
      </w:r>
      <w:r w:rsidR="00EB6D17">
        <w:rPr>
          <w:sz w:val="24"/>
          <w:szCs w:val="24"/>
        </w:rPr>
        <w:t>devra</w:t>
      </w:r>
      <w:r w:rsidR="00412877">
        <w:rPr>
          <w:sz w:val="24"/>
          <w:szCs w:val="24"/>
        </w:rPr>
        <w:t xml:space="preserve"> accepter</w:t>
      </w:r>
      <w:r w:rsidR="00BF6FB0">
        <w:rPr>
          <w:sz w:val="24"/>
          <w:szCs w:val="24"/>
        </w:rPr>
        <w:t xml:space="preserve"> à l’acte que </w:t>
      </w:r>
      <w:r w:rsidR="00EB6D17">
        <w:rPr>
          <w:sz w:val="24"/>
          <w:szCs w:val="24"/>
        </w:rPr>
        <w:t>ses</w:t>
      </w:r>
      <w:r w:rsidR="00BF6FB0">
        <w:rPr>
          <w:sz w:val="24"/>
          <w:szCs w:val="24"/>
        </w:rPr>
        <w:t xml:space="preserve"> propres enfants soient allotis </w:t>
      </w:r>
      <w:r w:rsidR="00EB6D17">
        <w:rPr>
          <w:sz w:val="24"/>
          <w:szCs w:val="24"/>
        </w:rPr>
        <w:t xml:space="preserve">en son lieu et place </w:t>
      </w:r>
      <w:r w:rsidR="00BF6FB0">
        <w:rPr>
          <w:sz w:val="24"/>
          <w:szCs w:val="24"/>
        </w:rPr>
        <w:t xml:space="preserve">pour </w:t>
      </w:r>
      <w:r w:rsidR="002F0DF5">
        <w:rPr>
          <w:sz w:val="24"/>
          <w:szCs w:val="24"/>
        </w:rPr>
        <w:t xml:space="preserve">tout ou </w:t>
      </w:r>
      <w:r w:rsidR="00BF6FB0">
        <w:rPr>
          <w:sz w:val="24"/>
          <w:szCs w:val="24"/>
        </w:rPr>
        <w:t xml:space="preserve">partie </w:t>
      </w:r>
      <w:r w:rsidR="00412877">
        <w:rPr>
          <w:sz w:val="24"/>
          <w:szCs w:val="24"/>
        </w:rPr>
        <w:t xml:space="preserve">des titres </w:t>
      </w:r>
      <w:r w:rsidR="00166AFB">
        <w:rPr>
          <w:sz w:val="24"/>
          <w:szCs w:val="24"/>
        </w:rPr>
        <w:t>objet</w:t>
      </w:r>
      <w:r w:rsidR="00C1561E">
        <w:rPr>
          <w:sz w:val="24"/>
          <w:szCs w:val="24"/>
        </w:rPr>
        <w:t>s</w:t>
      </w:r>
      <w:r w:rsidR="00166AFB">
        <w:rPr>
          <w:sz w:val="24"/>
          <w:szCs w:val="24"/>
        </w:rPr>
        <w:t xml:space="preserve"> de </w:t>
      </w:r>
      <w:r w:rsidR="001C7FB8">
        <w:rPr>
          <w:sz w:val="24"/>
          <w:szCs w:val="24"/>
        </w:rPr>
        <w:t>transmission</w:t>
      </w:r>
      <w:r w:rsidR="00D84CD3" w:rsidRPr="00AC605E">
        <w:rPr>
          <w:rStyle w:val="Appelnotedebasdep"/>
          <w:color w:val="000000" w:themeColor="text1"/>
          <w:sz w:val="24"/>
          <w:szCs w:val="24"/>
        </w:rPr>
        <w:footnoteReference w:id="2"/>
      </w:r>
      <w:r w:rsidR="00D55AD9" w:rsidRPr="00D55AD9">
        <w:rPr>
          <w:color w:val="000000" w:themeColor="text1"/>
          <w:sz w:val="24"/>
          <w:szCs w:val="24"/>
        </w:rPr>
        <w:t xml:space="preserve"> </w:t>
      </w:r>
      <w:r w:rsidR="006C11CC">
        <w:rPr>
          <w:sz w:val="24"/>
          <w:szCs w:val="24"/>
        </w:rPr>
        <w:t>(</w:t>
      </w:r>
      <w:r w:rsidR="006C11CC" w:rsidRPr="00412877">
        <w:rPr>
          <w:b/>
          <w:sz w:val="24"/>
          <w:szCs w:val="24"/>
        </w:rPr>
        <w:t>voir tableau 1</w:t>
      </w:r>
      <w:r w:rsidR="006C11CC">
        <w:rPr>
          <w:b/>
          <w:sz w:val="24"/>
          <w:szCs w:val="24"/>
        </w:rPr>
        <w:t>)</w:t>
      </w:r>
      <w:r w:rsidR="00166AFB" w:rsidRPr="00AC605E">
        <w:rPr>
          <w:color w:val="000000" w:themeColor="text1"/>
          <w:sz w:val="24"/>
          <w:szCs w:val="24"/>
        </w:rPr>
        <w:t>.</w:t>
      </w:r>
      <w:r w:rsidR="00166AFB">
        <w:rPr>
          <w:sz w:val="24"/>
          <w:szCs w:val="24"/>
        </w:rPr>
        <w:t xml:space="preserve"> </w:t>
      </w:r>
      <w:r w:rsidR="00E60A6B">
        <w:rPr>
          <w:sz w:val="24"/>
          <w:szCs w:val="24"/>
        </w:rPr>
        <w:t xml:space="preserve"> </w:t>
      </w:r>
    </w:p>
    <w:p w:rsidR="00AB0B5D" w:rsidRPr="00AB0B5D" w:rsidRDefault="00AB0B5D" w:rsidP="00AB0B5D">
      <w:pPr>
        <w:jc w:val="both"/>
        <w:rPr>
          <w:b/>
          <w:sz w:val="24"/>
          <w:szCs w:val="24"/>
        </w:rPr>
      </w:pPr>
      <w:r w:rsidRPr="00096B88">
        <w:rPr>
          <w:b/>
          <w:sz w:val="24"/>
          <w:szCs w:val="24"/>
        </w:rPr>
        <w:t>Tableau 1</w:t>
      </w:r>
    </w:p>
    <w:p w:rsidR="00AB0B5D" w:rsidRDefault="00AB0B5D" w:rsidP="00AB0B5D">
      <w:pPr>
        <w:jc w:val="both"/>
        <w:rPr>
          <w:sz w:val="24"/>
          <w:szCs w:val="24"/>
        </w:rPr>
      </w:pPr>
      <w:r w:rsidRPr="003506ED">
        <w:rPr>
          <w:noProof/>
          <w:lang w:eastAsia="fr-FR"/>
        </w:rPr>
        <w:drawing>
          <wp:inline distT="0" distB="0" distL="0" distR="0" wp14:anchorId="19A54048" wp14:editId="739FD096">
            <wp:extent cx="4297680" cy="2202180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A1" w:rsidRPr="00AB0B5D" w:rsidRDefault="00AB0B5D" w:rsidP="00AB0B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870F93" w:rsidRPr="00951CA5">
        <w:rPr>
          <w:sz w:val="24"/>
          <w:szCs w:val="24"/>
        </w:rPr>
        <w:t xml:space="preserve">u </w:t>
      </w:r>
      <w:r w:rsidR="00D84CD3" w:rsidRPr="00951CA5">
        <w:rPr>
          <w:sz w:val="24"/>
          <w:szCs w:val="24"/>
        </w:rPr>
        <w:t xml:space="preserve">décès du </w:t>
      </w:r>
      <w:r w:rsidR="00412877">
        <w:rPr>
          <w:sz w:val="24"/>
          <w:szCs w:val="24"/>
        </w:rPr>
        <w:t>dirigeant donateur, la valeur des</w:t>
      </w:r>
      <w:r w:rsidR="00B5534E" w:rsidRPr="00951CA5">
        <w:rPr>
          <w:sz w:val="24"/>
          <w:szCs w:val="24"/>
        </w:rPr>
        <w:t xml:space="preserve"> </w:t>
      </w:r>
      <w:r w:rsidR="00204E79" w:rsidRPr="00951CA5">
        <w:rPr>
          <w:sz w:val="24"/>
          <w:szCs w:val="24"/>
        </w:rPr>
        <w:t xml:space="preserve">titres de l’entreprise </w:t>
      </w:r>
      <w:r w:rsidR="006C63AB">
        <w:rPr>
          <w:sz w:val="24"/>
          <w:szCs w:val="24"/>
        </w:rPr>
        <w:t>reçus</w:t>
      </w:r>
      <w:r w:rsidR="00412877">
        <w:rPr>
          <w:sz w:val="24"/>
          <w:szCs w:val="24"/>
        </w:rPr>
        <w:t xml:space="preserve"> </w:t>
      </w:r>
      <w:r w:rsidR="006C63AB">
        <w:rPr>
          <w:sz w:val="24"/>
          <w:szCs w:val="24"/>
        </w:rPr>
        <w:t xml:space="preserve">par les </w:t>
      </w:r>
      <w:r w:rsidR="00412877">
        <w:rPr>
          <w:sz w:val="24"/>
          <w:szCs w:val="24"/>
        </w:rPr>
        <w:t>petits-enfants</w:t>
      </w:r>
      <w:r w:rsidR="006C63AB">
        <w:rPr>
          <w:sz w:val="24"/>
          <w:szCs w:val="24"/>
        </w:rPr>
        <w:t>,</w:t>
      </w:r>
      <w:r w:rsidR="00412877">
        <w:rPr>
          <w:sz w:val="24"/>
          <w:szCs w:val="24"/>
        </w:rPr>
        <w:t xml:space="preserve"> s’imputera</w:t>
      </w:r>
      <w:r w:rsidR="006F39AA" w:rsidRPr="00951CA5">
        <w:rPr>
          <w:sz w:val="24"/>
          <w:szCs w:val="24"/>
        </w:rPr>
        <w:t xml:space="preserve"> sur la </w:t>
      </w:r>
      <w:r w:rsidR="00B5534E" w:rsidRPr="00951CA5">
        <w:rPr>
          <w:sz w:val="24"/>
          <w:szCs w:val="24"/>
        </w:rPr>
        <w:t>réserve</w:t>
      </w:r>
      <w:r w:rsidR="006F39AA" w:rsidRPr="00951CA5">
        <w:rPr>
          <w:sz w:val="24"/>
          <w:szCs w:val="24"/>
        </w:rPr>
        <w:t xml:space="preserve"> </w:t>
      </w:r>
      <w:r w:rsidR="00412877">
        <w:rPr>
          <w:sz w:val="24"/>
          <w:szCs w:val="24"/>
        </w:rPr>
        <w:t xml:space="preserve">héréditaire </w:t>
      </w:r>
      <w:r w:rsidR="006F39AA" w:rsidRPr="00951CA5">
        <w:rPr>
          <w:sz w:val="24"/>
          <w:szCs w:val="24"/>
        </w:rPr>
        <w:t xml:space="preserve">revenant à </w:t>
      </w:r>
      <w:r w:rsidR="006C11CC">
        <w:rPr>
          <w:sz w:val="24"/>
          <w:szCs w:val="24"/>
        </w:rPr>
        <w:t>« </w:t>
      </w:r>
      <w:r w:rsidR="006F39AA" w:rsidRPr="00951CA5">
        <w:rPr>
          <w:sz w:val="24"/>
          <w:szCs w:val="24"/>
        </w:rPr>
        <w:t>leur souche</w:t>
      </w:r>
      <w:r w:rsidR="006C11CC">
        <w:rPr>
          <w:sz w:val="24"/>
          <w:szCs w:val="24"/>
        </w:rPr>
        <w:t> »</w:t>
      </w:r>
      <w:r w:rsidR="006F39AA" w:rsidRPr="00951CA5">
        <w:rPr>
          <w:sz w:val="24"/>
          <w:szCs w:val="24"/>
        </w:rPr>
        <w:t xml:space="preserve"> </w:t>
      </w:r>
      <w:r w:rsidR="006C63AB">
        <w:rPr>
          <w:sz w:val="24"/>
          <w:szCs w:val="24"/>
        </w:rPr>
        <w:t xml:space="preserve">et subsidiairement </w:t>
      </w:r>
      <w:r w:rsidR="00EB25C5">
        <w:rPr>
          <w:sz w:val="24"/>
          <w:szCs w:val="24"/>
        </w:rPr>
        <w:t xml:space="preserve">seulement </w:t>
      </w:r>
      <w:r w:rsidR="006C63AB">
        <w:rPr>
          <w:sz w:val="24"/>
          <w:szCs w:val="24"/>
        </w:rPr>
        <w:t>sur la quotité disponible</w:t>
      </w:r>
      <w:r w:rsidR="00E60A6B" w:rsidRPr="00951CA5">
        <w:rPr>
          <w:rStyle w:val="Appelnotedebasdep"/>
          <w:sz w:val="24"/>
          <w:szCs w:val="24"/>
        </w:rPr>
        <w:footnoteReference w:id="3"/>
      </w:r>
      <w:r w:rsidR="00E60A6B">
        <w:rPr>
          <w:sz w:val="24"/>
          <w:szCs w:val="24"/>
        </w:rPr>
        <w:t xml:space="preserve"> </w:t>
      </w:r>
      <w:r w:rsidR="00B5366D" w:rsidRPr="00951CA5">
        <w:rPr>
          <w:sz w:val="24"/>
          <w:szCs w:val="24"/>
        </w:rPr>
        <w:t xml:space="preserve">. </w:t>
      </w:r>
      <w:r w:rsidR="001C7FB8">
        <w:rPr>
          <w:sz w:val="24"/>
          <w:szCs w:val="24"/>
        </w:rPr>
        <w:t>A cet égard, l</w:t>
      </w:r>
      <w:r w:rsidR="00412877">
        <w:rPr>
          <w:sz w:val="24"/>
          <w:szCs w:val="24"/>
        </w:rPr>
        <w:t xml:space="preserve">e calcul de la réserve et </w:t>
      </w:r>
      <w:r w:rsidR="002F0DF5">
        <w:rPr>
          <w:sz w:val="24"/>
          <w:szCs w:val="24"/>
        </w:rPr>
        <w:t xml:space="preserve">de la quotité disponible </w:t>
      </w:r>
      <w:r w:rsidR="00BF6FB0">
        <w:rPr>
          <w:sz w:val="24"/>
          <w:szCs w:val="24"/>
        </w:rPr>
        <w:t xml:space="preserve">se </w:t>
      </w:r>
      <w:r w:rsidR="00AC605E">
        <w:rPr>
          <w:sz w:val="24"/>
          <w:szCs w:val="24"/>
        </w:rPr>
        <w:t>fera</w:t>
      </w:r>
      <w:r w:rsidR="00BF6FB0">
        <w:rPr>
          <w:sz w:val="24"/>
          <w:szCs w:val="24"/>
        </w:rPr>
        <w:t xml:space="preserve"> selon la </w:t>
      </w:r>
      <w:r w:rsidR="00204E79" w:rsidRPr="0074795E">
        <w:rPr>
          <w:color w:val="000000" w:themeColor="text1"/>
          <w:sz w:val="24"/>
          <w:szCs w:val="24"/>
        </w:rPr>
        <w:t xml:space="preserve">valeur </w:t>
      </w:r>
      <w:r w:rsidR="00BF6FB0" w:rsidRPr="0074795E">
        <w:rPr>
          <w:color w:val="000000" w:themeColor="text1"/>
          <w:sz w:val="24"/>
          <w:szCs w:val="24"/>
        </w:rPr>
        <w:t xml:space="preserve">des titres </w:t>
      </w:r>
      <w:r w:rsidR="00204E79" w:rsidRPr="0074795E">
        <w:rPr>
          <w:color w:val="000000" w:themeColor="text1"/>
          <w:sz w:val="24"/>
          <w:szCs w:val="24"/>
        </w:rPr>
        <w:t>au jour de la donation-partage</w:t>
      </w:r>
      <w:r w:rsidR="00412877">
        <w:rPr>
          <w:color w:val="000000" w:themeColor="text1"/>
          <w:sz w:val="24"/>
          <w:szCs w:val="24"/>
        </w:rPr>
        <w:t>,</w:t>
      </w:r>
      <w:r w:rsidR="00204E79" w:rsidRPr="0074795E">
        <w:rPr>
          <w:color w:val="000000" w:themeColor="text1"/>
          <w:sz w:val="24"/>
          <w:szCs w:val="24"/>
        </w:rPr>
        <w:t xml:space="preserve"> sans revalorisation de </w:t>
      </w:r>
      <w:r w:rsidR="00BF6FB0" w:rsidRPr="0074795E">
        <w:rPr>
          <w:color w:val="000000" w:themeColor="text1"/>
          <w:sz w:val="24"/>
          <w:szCs w:val="24"/>
        </w:rPr>
        <w:t>ceux-ci</w:t>
      </w:r>
      <w:r w:rsidR="0035644C" w:rsidRPr="0074795E">
        <w:rPr>
          <w:color w:val="000000" w:themeColor="text1"/>
          <w:sz w:val="24"/>
          <w:szCs w:val="24"/>
        </w:rPr>
        <w:t xml:space="preserve"> au moment du décès</w:t>
      </w:r>
      <w:r w:rsidR="00D84CD3" w:rsidRPr="0074795E">
        <w:rPr>
          <w:color w:val="000000" w:themeColor="text1"/>
          <w:sz w:val="24"/>
          <w:szCs w:val="24"/>
        </w:rPr>
        <w:t xml:space="preserve">, </w:t>
      </w:r>
      <w:r w:rsidR="00AC605E">
        <w:rPr>
          <w:color w:val="000000" w:themeColor="text1"/>
          <w:sz w:val="24"/>
          <w:szCs w:val="24"/>
        </w:rPr>
        <w:t xml:space="preserve">si </w:t>
      </w:r>
      <w:r w:rsidR="00B5534E" w:rsidRPr="0074795E">
        <w:rPr>
          <w:color w:val="000000" w:themeColor="text1"/>
          <w:sz w:val="24"/>
          <w:szCs w:val="24"/>
        </w:rPr>
        <w:t xml:space="preserve">chaque souche </w:t>
      </w:r>
      <w:r w:rsidR="00530FFC">
        <w:rPr>
          <w:color w:val="000000" w:themeColor="text1"/>
          <w:sz w:val="24"/>
          <w:szCs w:val="24"/>
        </w:rPr>
        <w:t>a</w:t>
      </w:r>
      <w:r w:rsidR="00D84CD3" w:rsidRPr="0074795E">
        <w:rPr>
          <w:color w:val="000000" w:themeColor="text1"/>
          <w:sz w:val="24"/>
          <w:szCs w:val="24"/>
        </w:rPr>
        <w:t xml:space="preserve"> accepté et</w:t>
      </w:r>
      <w:r w:rsidR="00B5534E" w:rsidRPr="0074795E">
        <w:rPr>
          <w:color w:val="000000" w:themeColor="text1"/>
          <w:sz w:val="24"/>
          <w:szCs w:val="24"/>
        </w:rPr>
        <w:t xml:space="preserve"> reçu </w:t>
      </w:r>
      <w:r w:rsidR="00B5534E" w:rsidRPr="00D84CD3">
        <w:rPr>
          <w:color w:val="000000" w:themeColor="text1"/>
          <w:sz w:val="24"/>
          <w:szCs w:val="24"/>
        </w:rPr>
        <w:t>un lot</w:t>
      </w:r>
      <w:r w:rsidR="002F0DF5">
        <w:rPr>
          <w:color w:val="000000" w:themeColor="text1"/>
          <w:sz w:val="24"/>
          <w:szCs w:val="24"/>
        </w:rPr>
        <w:t xml:space="preserve"> et </w:t>
      </w:r>
      <w:r w:rsidR="00AC605E">
        <w:rPr>
          <w:color w:val="000000" w:themeColor="text1"/>
          <w:sz w:val="24"/>
          <w:szCs w:val="24"/>
        </w:rPr>
        <w:t xml:space="preserve">si </w:t>
      </w:r>
      <w:r w:rsidR="002F0DF5">
        <w:rPr>
          <w:color w:val="000000" w:themeColor="text1"/>
          <w:sz w:val="24"/>
          <w:szCs w:val="24"/>
        </w:rPr>
        <w:t xml:space="preserve">aucune réserve d’usufruit sur somme d’argent </w:t>
      </w:r>
      <w:r w:rsidR="00AC605E">
        <w:rPr>
          <w:color w:val="000000" w:themeColor="text1"/>
          <w:sz w:val="24"/>
          <w:szCs w:val="24"/>
        </w:rPr>
        <w:t>n’a</w:t>
      </w:r>
      <w:r w:rsidR="00E60A6B">
        <w:rPr>
          <w:color w:val="000000" w:themeColor="text1"/>
          <w:sz w:val="24"/>
          <w:szCs w:val="24"/>
        </w:rPr>
        <w:t xml:space="preserve"> été</w:t>
      </w:r>
      <w:r w:rsidR="002F0DF5">
        <w:rPr>
          <w:color w:val="000000" w:themeColor="text1"/>
          <w:sz w:val="24"/>
          <w:szCs w:val="24"/>
        </w:rPr>
        <w:t xml:space="preserve"> prévue</w:t>
      </w:r>
      <w:r w:rsidR="00B5366D" w:rsidRPr="002B38E7">
        <w:rPr>
          <w:rStyle w:val="Appelnotedebasdep"/>
          <w:sz w:val="24"/>
          <w:szCs w:val="24"/>
        </w:rPr>
        <w:footnoteReference w:id="4"/>
      </w:r>
      <w:r w:rsidR="00517263">
        <w:rPr>
          <w:sz w:val="24"/>
          <w:szCs w:val="24"/>
        </w:rPr>
        <w:t xml:space="preserve">. </w:t>
      </w:r>
      <w:r w:rsidR="00AC605E">
        <w:rPr>
          <w:sz w:val="24"/>
          <w:szCs w:val="24"/>
        </w:rPr>
        <w:t>Cette</w:t>
      </w:r>
      <w:r w:rsidR="00AC605E" w:rsidRPr="00951CA5">
        <w:rPr>
          <w:sz w:val="24"/>
          <w:szCs w:val="24"/>
        </w:rPr>
        <w:t xml:space="preserve"> donation</w:t>
      </w:r>
      <w:r w:rsidR="00AC605E">
        <w:rPr>
          <w:sz w:val="24"/>
          <w:szCs w:val="24"/>
        </w:rPr>
        <w:t xml:space="preserve">-partage transgénérationnelle pourra </w:t>
      </w:r>
      <w:r w:rsidR="00530FFC">
        <w:rPr>
          <w:sz w:val="24"/>
          <w:szCs w:val="24"/>
        </w:rPr>
        <w:t xml:space="preserve">toutefois </w:t>
      </w:r>
      <w:r w:rsidR="00AC605E">
        <w:rPr>
          <w:sz w:val="24"/>
          <w:szCs w:val="24"/>
        </w:rPr>
        <w:t>être inégalitaire</w:t>
      </w:r>
      <w:r w:rsidR="00AC605E" w:rsidRPr="00AC605E">
        <w:rPr>
          <w:color w:val="000000" w:themeColor="text1"/>
          <w:sz w:val="24"/>
          <w:szCs w:val="24"/>
        </w:rPr>
        <w:t>,</w:t>
      </w:r>
      <w:r w:rsidR="00AC605E">
        <w:rPr>
          <w:color w:val="000000" w:themeColor="text1"/>
          <w:sz w:val="24"/>
          <w:szCs w:val="24"/>
        </w:rPr>
        <w:t xml:space="preserve"> </w:t>
      </w:r>
      <w:r w:rsidR="00031458">
        <w:rPr>
          <w:color w:val="000000" w:themeColor="text1"/>
          <w:sz w:val="24"/>
          <w:szCs w:val="24"/>
        </w:rPr>
        <w:t>sous réserve de l’ouverture</w:t>
      </w:r>
      <w:r w:rsidR="00AC605E">
        <w:rPr>
          <w:color w:val="000000" w:themeColor="text1"/>
          <w:sz w:val="24"/>
          <w:szCs w:val="24"/>
        </w:rPr>
        <w:t xml:space="preserve"> </w:t>
      </w:r>
      <w:r w:rsidR="00031458">
        <w:rPr>
          <w:color w:val="000000" w:themeColor="text1"/>
          <w:sz w:val="24"/>
          <w:szCs w:val="24"/>
        </w:rPr>
        <w:t>d’</w:t>
      </w:r>
      <w:r w:rsidR="00AC605E" w:rsidRPr="00AC605E">
        <w:rPr>
          <w:color w:val="000000" w:themeColor="text1"/>
          <w:sz w:val="24"/>
          <w:szCs w:val="24"/>
        </w:rPr>
        <w:t xml:space="preserve">une action en réduction </w:t>
      </w:r>
      <w:r w:rsidR="00530FFC">
        <w:rPr>
          <w:color w:val="000000" w:themeColor="text1"/>
          <w:sz w:val="24"/>
          <w:szCs w:val="24"/>
        </w:rPr>
        <w:t>aux descendants d’une souche n’ayant pas reçu de lot ou</w:t>
      </w:r>
      <w:r w:rsidR="00366D53" w:rsidRPr="00473058">
        <w:rPr>
          <w:color w:val="FF0000"/>
          <w:sz w:val="24"/>
          <w:szCs w:val="24"/>
        </w:rPr>
        <w:t xml:space="preserve"> </w:t>
      </w:r>
      <w:r w:rsidR="00530FFC">
        <w:rPr>
          <w:color w:val="000000" w:themeColor="text1"/>
          <w:sz w:val="24"/>
          <w:szCs w:val="24"/>
        </w:rPr>
        <w:t>n’ayant</w:t>
      </w:r>
      <w:r w:rsidR="00366D53">
        <w:rPr>
          <w:color w:val="000000" w:themeColor="text1"/>
          <w:sz w:val="24"/>
          <w:szCs w:val="24"/>
        </w:rPr>
        <w:t xml:space="preserve"> reçu </w:t>
      </w:r>
      <w:r w:rsidR="00530FFC">
        <w:rPr>
          <w:color w:val="000000" w:themeColor="text1"/>
          <w:sz w:val="24"/>
          <w:szCs w:val="24"/>
        </w:rPr>
        <w:t>qu’un</w:t>
      </w:r>
      <w:r w:rsidR="00366D53">
        <w:rPr>
          <w:color w:val="000000" w:themeColor="text1"/>
          <w:sz w:val="24"/>
          <w:szCs w:val="24"/>
        </w:rPr>
        <w:t xml:space="preserve"> lot inférieur à </w:t>
      </w:r>
      <w:r w:rsidR="00530FFC">
        <w:rPr>
          <w:color w:val="000000" w:themeColor="text1"/>
          <w:sz w:val="24"/>
          <w:szCs w:val="24"/>
        </w:rPr>
        <w:t>leur</w:t>
      </w:r>
      <w:r w:rsidR="00AC605E" w:rsidRPr="00AC605E">
        <w:rPr>
          <w:color w:val="000000" w:themeColor="text1"/>
          <w:sz w:val="24"/>
          <w:szCs w:val="24"/>
        </w:rPr>
        <w:t xml:space="preserve"> part de réserve</w:t>
      </w:r>
      <w:r w:rsidR="00AC605E" w:rsidRPr="00D86A79">
        <w:rPr>
          <w:rStyle w:val="Appelnotedebasdep"/>
          <w:sz w:val="24"/>
          <w:szCs w:val="24"/>
        </w:rPr>
        <w:footnoteReference w:id="5"/>
      </w:r>
      <w:r w:rsidR="00AC605E" w:rsidRPr="00D86A79">
        <w:rPr>
          <w:sz w:val="24"/>
          <w:szCs w:val="24"/>
        </w:rPr>
        <w:t>.</w:t>
      </w:r>
      <w:r w:rsidR="001C7FB8">
        <w:rPr>
          <w:sz w:val="24"/>
          <w:szCs w:val="24"/>
        </w:rPr>
        <w:t xml:space="preserve"> </w:t>
      </w:r>
      <w:r w:rsidR="00D55AD9">
        <w:rPr>
          <w:color w:val="000000" w:themeColor="text1"/>
          <w:sz w:val="24"/>
          <w:szCs w:val="24"/>
        </w:rPr>
        <w:t>De même a</w:t>
      </w:r>
      <w:r w:rsidR="00870F93" w:rsidRPr="002B38E7">
        <w:rPr>
          <w:sz w:val="24"/>
          <w:szCs w:val="24"/>
        </w:rPr>
        <w:t xml:space="preserve">u </w:t>
      </w:r>
      <w:r w:rsidR="00B5534E" w:rsidRPr="002B38E7">
        <w:rPr>
          <w:sz w:val="24"/>
          <w:szCs w:val="24"/>
        </w:rPr>
        <w:t>décès de l’enfant</w:t>
      </w:r>
      <w:r w:rsidR="002F0DF5">
        <w:rPr>
          <w:sz w:val="24"/>
          <w:szCs w:val="24"/>
        </w:rPr>
        <w:t xml:space="preserve"> du dirigeant donateur</w:t>
      </w:r>
      <w:r w:rsidR="00D70A10" w:rsidRPr="002B38E7">
        <w:rPr>
          <w:sz w:val="24"/>
          <w:szCs w:val="24"/>
        </w:rPr>
        <w:t xml:space="preserve">, </w:t>
      </w:r>
      <w:r w:rsidR="0011644A">
        <w:rPr>
          <w:sz w:val="24"/>
          <w:szCs w:val="24"/>
        </w:rPr>
        <w:t xml:space="preserve">et par respect de la </w:t>
      </w:r>
      <w:r w:rsidR="00AC605E">
        <w:rPr>
          <w:sz w:val="24"/>
          <w:szCs w:val="24"/>
        </w:rPr>
        <w:t>réserve au sein de chaque souche,</w:t>
      </w:r>
      <w:r w:rsidR="00AC605E" w:rsidRPr="002B38E7">
        <w:rPr>
          <w:sz w:val="24"/>
          <w:szCs w:val="24"/>
        </w:rPr>
        <w:t xml:space="preserve"> </w:t>
      </w:r>
      <w:r w:rsidR="002B38E7" w:rsidRPr="002B38E7">
        <w:rPr>
          <w:sz w:val="24"/>
          <w:szCs w:val="24"/>
        </w:rPr>
        <w:t>si tous les petits-</w:t>
      </w:r>
      <w:r w:rsidR="00366D53">
        <w:rPr>
          <w:sz w:val="24"/>
          <w:szCs w:val="24"/>
        </w:rPr>
        <w:t xml:space="preserve">enfants </w:t>
      </w:r>
      <w:r w:rsidR="00B9527E">
        <w:rPr>
          <w:sz w:val="24"/>
          <w:szCs w:val="24"/>
        </w:rPr>
        <w:t>ont reçu et accepté un lot</w:t>
      </w:r>
      <w:r w:rsidR="00517263">
        <w:rPr>
          <w:sz w:val="24"/>
          <w:szCs w:val="24"/>
        </w:rPr>
        <w:t xml:space="preserve"> et lorsque</w:t>
      </w:r>
      <w:r w:rsidR="002F0DF5">
        <w:rPr>
          <w:sz w:val="24"/>
          <w:szCs w:val="24"/>
        </w:rPr>
        <w:t xml:space="preserve"> aucune réserve d’usufruit sur somme d’argent n’a été prévue</w:t>
      </w:r>
      <w:r w:rsidR="00B9527E">
        <w:rPr>
          <w:sz w:val="24"/>
          <w:szCs w:val="24"/>
        </w:rPr>
        <w:t xml:space="preserve">, </w:t>
      </w:r>
      <w:r w:rsidR="002F0DF5">
        <w:rPr>
          <w:sz w:val="24"/>
          <w:szCs w:val="24"/>
        </w:rPr>
        <w:t>ceux-ci</w:t>
      </w:r>
      <w:r w:rsidR="00B5534E" w:rsidRPr="002B38E7">
        <w:rPr>
          <w:sz w:val="24"/>
          <w:szCs w:val="24"/>
        </w:rPr>
        <w:t xml:space="preserve"> </w:t>
      </w:r>
      <w:r w:rsidR="001E507B">
        <w:rPr>
          <w:sz w:val="24"/>
          <w:szCs w:val="24"/>
        </w:rPr>
        <w:t>seront</w:t>
      </w:r>
      <w:r w:rsidR="00B5534E" w:rsidRPr="002B38E7">
        <w:rPr>
          <w:sz w:val="24"/>
          <w:szCs w:val="24"/>
        </w:rPr>
        <w:t xml:space="preserve"> traités comme s’ils avaient reçu la </w:t>
      </w:r>
      <w:r w:rsidR="00BC6433" w:rsidRPr="002B38E7">
        <w:rPr>
          <w:sz w:val="24"/>
          <w:szCs w:val="24"/>
        </w:rPr>
        <w:t>donation-partage</w:t>
      </w:r>
      <w:r w:rsidR="00B5534E" w:rsidRPr="002B38E7">
        <w:rPr>
          <w:sz w:val="24"/>
          <w:szCs w:val="24"/>
        </w:rPr>
        <w:t xml:space="preserve"> </w:t>
      </w:r>
      <w:r w:rsidR="002F0DF5">
        <w:rPr>
          <w:sz w:val="24"/>
          <w:szCs w:val="24"/>
        </w:rPr>
        <w:t xml:space="preserve">directement </w:t>
      </w:r>
      <w:r w:rsidR="00B5534E" w:rsidRPr="002B38E7">
        <w:rPr>
          <w:sz w:val="24"/>
          <w:szCs w:val="24"/>
        </w:rPr>
        <w:t>de leur auteur</w:t>
      </w:r>
      <w:r w:rsidR="00DA40B6">
        <w:rPr>
          <w:sz w:val="24"/>
          <w:szCs w:val="24"/>
        </w:rPr>
        <w:t xml:space="preserve">. </w:t>
      </w:r>
      <w:r w:rsidR="00D55AD9">
        <w:rPr>
          <w:sz w:val="24"/>
          <w:szCs w:val="24"/>
        </w:rPr>
        <w:t xml:space="preserve">Dans ce cas, </w:t>
      </w:r>
      <w:r w:rsidR="00D55AD9">
        <w:rPr>
          <w:color w:val="000000" w:themeColor="text1"/>
          <w:sz w:val="24"/>
          <w:szCs w:val="24"/>
        </w:rPr>
        <w:t>l</w:t>
      </w:r>
      <w:r w:rsidR="003110EC" w:rsidRPr="00C67C88">
        <w:rPr>
          <w:color w:val="000000" w:themeColor="text1"/>
          <w:sz w:val="24"/>
          <w:szCs w:val="24"/>
        </w:rPr>
        <w:t xml:space="preserve">es titres donnés seront pris en compte </w:t>
      </w:r>
      <w:r w:rsidR="00C67C88">
        <w:rPr>
          <w:color w:val="000000" w:themeColor="text1"/>
          <w:sz w:val="24"/>
          <w:szCs w:val="24"/>
        </w:rPr>
        <w:t>lors du</w:t>
      </w:r>
      <w:r w:rsidR="003110EC" w:rsidRPr="00C67C88">
        <w:rPr>
          <w:color w:val="000000" w:themeColor="text1"/>
          <w:sz w:val="24"/>
          <w:szCs w:val="24"/>
        </w:rPr>
        <w:t xml:space="preserve"> calcul de la réserve et de la quotité dispon</w:t>
      </w:r>
      <w:r>
        <w:rPr>
          <w:color w:val="000000" w:themeColor="text1"/>
          <w:sz w:val="24"/>
          <w:szCs w:val="24"/>
        </w:rPr>
        <w:t>ible pour leur valeur au jour de</w:t>
      </w:r>
      <w:r w:rsidR="003110EC" w:rsidRPr="00C67C88">
        <w:rPr>
          <w:color w:val="000000" w:themeColor="text1"/>
          <w:sz w:val="24"/>
          <w:szCs w:val="24"/>
        </w:rPr>
        <w:t xml:space="preserve"> la donation-partage transgénérationnelle</w:t>
      </w:r>
      <w:r w:rsidR="003110EC" w:rsidRPr="00C67C88">
        <w:rPr>
          <w:rStyle w:val="Appelnotedebasdep"/>
          <w:color w:val="000000" w:themeColor="text1"/>
          <w:sz w:val="24"/>
          <w:szCs w:val="24"/>
        </w:rPr>
        <w:footnoteReference w:id="6"/>
      </w:r>
      <w:r w:rsidR="003110EC" w:rsidRPr="00C67C88">
        <w:rPr>
          <w:color w:val="000000" w:themeColor="text1"/>
          <w:sz w:val="24"/>
          <w:szCs w:val="24"/>
        </w:rPr>
        <w:t xml:space="preserve">. </w:t>
      </w:r>
    </w:p>
    <w:p w:rsidR="001C7FB8" w:rsidRDefault="001C7FB8" w:rsidP="00393297">
      <w:pPr>
        <w:contextualSpacing/>
        <w:jc w:val="both"/>
        <w:rPr>
          <w:b/>
          <w:sz w:val="24"/>
          <w:szCs w:val="24"/>
        </w:rPr>
      </w:pPr>
    </w:p>
    <w:p w:rsidR="009C63AA" w:rsidRDefault="00EB25C5" w:rsidP="00393297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913E8">
        <w:rPr>
          <w:b/>
          <w:sz w:val="24"/>
          <w:szCs w:val="24"/>
        </w:rPr>
        <w:t>algré les apparences</w:t>
      </w:r>
      <w:r w:rsidR="00781228">
        <w:rPr>
          <w:b/>
          <w:sz w:val="24"/>
          <w:szCs w:val="24"/>
        </w:rPr>
        <w:t>, une fiscalité avantageuse</w:t>
      </w:r>
    </w:p>
    <w:p w:rsidR="00AB0B5D" w:rsidRDefault="004B2F11" w:rsidP="00BC6433">
      <w:pPr>
        <w:contextualSpacing/>
        <w:jc w:val="both"/>
        <w:rPr>
          <w:b/>
          <w:sz w:val="24"/>
          <w:szCs w:val="24"/>
        </w:rPr>
      </w:pPr>
      <w:r w:rsidRPr="00615BC4">
        <w:rPr>
          <w:sz w:val="24"/>
          <w:szCs w:val="24"/>
        </w:rPr>
        <w:t xml:space="preserve">Les droits </w:t>
      </w:r>
      <w:r w:rsidR="00A17803">
        <w:rPr>
          <w:sz w:val="24"/>
          <w:szCs w:val="24"/>
        </w:rPr>
        <w:t>de donation</w:t>
      </w:r>
      <w:r w:rsidRPr="00615BC4">
        <w:rPr>
          <w:sz w:val="24"/>
          <w:szCs w:val="24"/>
        </w:rPr>
        <w:t xml:space="preserve"> </w:t>
      </w:r>
      <w:r w:rsidR="00CD7181">
        <w:rPr>
          <w:sz w:val="24"/>
          <w:szCs w:val="24"/>
        </w:rPr>
        <w:t>seront</w:t>
      </w:r>
      <w:r w:rsidRPr="00615BC4">
        <w:rPr>
          <w:sz w:val="24"/>
          <w:szCs w:val="24"/>
        </w:rPr>
        <w:t xml:space="preserve"> calculés distinctement sur la part reçue par chaque donataire et non par souche. </w:t>
      </w:r>
      <w:r w:rsidR="00393DB0" w:rsidRPr="00615BC4">
        <w:rPr>
          <w:sz w:val="24"/>
          <w:szCs w:val="24"/>
        </w:rPr>
        <w:t>L</w:t>
      </w:r>
      <w:r w:rsidR="002E19FD" w:rsidRPr="00615BC4">
        <w:rPr>
          <w:sz w:val="24"/>
          <w:szCs w:val="24"/>
        </w:rPr>
        <w:t xml:space="preserve">’imposition </w:t>
      </w:r>
      <w:r w:rsidR="00A10951" w:rsidRPr="00615BC4">
        <w:rPr>
          <w:sz w:val="24"/>
          <w:szCs w:val="24"/>
        </w:rPr>
        <w:t xml:space="preserve">des titres reçus par les petits-enfants </w:t>
      </w:r>
      <w:r w:rsidR="00CD7181">
        <w:rPr>
          <w:sz w:val="24"/>
          <w:szCs w:val="24"/>
        </w:rPr>
        <w:t>sera</w:t>
      </w:r>
      <w:r w:rsidR="009B5F5E" w:rsidRPr="00615BC4">
        <w:rPr>
          <w:sz w:val="24"/>
          <w:szCs w:val="24"/>
        </w:rPr>
        <w:t xml:space="preserve"> </w:t>
      </w:r>
      <w:r w:rsidRPr="00615BC4">
        <w:rPr>
          <w:sz w:val="24"/>
          <w:szCs w:val="24"/>
        </w:rPr>
        <w:t>donc</w:t>
      </w:r>
      <w:r>
        <w:rPr>
          <w:sz w:val="24"/>
          <w:szCs w:val="24"/>
        </w:rPr>
        <w:t xml:space="preserve"> </w:t>
      </w:r>
      <w:r w:rsidR="009B5F5E">
        <w:rPr>
          <w:sz w:val="24"/>
          <w:szCs w:val="24"/>
        </w:rPr>
        <w:t>réalisée</w:t>
      </w:r>
      <w:r w:rsidR="002E19FD">
        <w:rPr>
          <w:sz w:val="24"/>
          <w:szCs w:val="24"/>
        </w:rPr>
        <w:t xml:space="preserve"> en fonction du lien de parenté existant entre </w:t>
      </w:r>
      <w:r w:rsidR="00A10951">
        <w:rPr>
          <w:sz w:val="24"/>
          <w:szCs w:val="24"/>
        </w:rPr>
        <w:t>eux et le donateur</w:t>
      </w:r>
      <w:r w:rsidR="004B6DAE">
        <w:rPr>
          <w:rStyle w:val="Appelnotedebasdep"/>
          <w:sz w:val="24"/>
          <w:szCs w:val="24"/>
        </w:rPr>
        <w:footnoteReference w:id="7"/>
      </w:r>
      <w:r w:rsidR="00A10951">
        <w:rPr>
          <w:sz w:val="24"/>
          <w:szCs w:val="24"/>
        </w:rPr>
        <w:t>,</w:t>
      </w:r>
      <w:r w:rsidR="009B5F5E">
        <w:rPr>
          <w:sz w:val="24"/>
          <w:szCs w:val="24"/>
        </w:rPr>
        <w:t xml:space="preserve"> à l’</w:t>
      </w:r>
      <w:r w:rsidR="00EB25C5">
        <w:rPr>
          <w:sz w:val="24"/>
          <w:szCs w:val="24"/>
        </w:rPr>
        <w:t xml:space="preserve">exclusion de tout système de </w:t>
      </w:r>
      <w:r w:rsidR="009B5F5E">
        <w:rPr>
          <w:sz w:val="24"/>
          <w:szCs w:val="24"/>
        </w:rPr>
        <w:t>représentation</w:t>
      </w:r>
      <w:r w:rsidR="0068296C">
        <w:rPr>
          <w:rStyle w:val="Appelnotedebasdep"/>
          <w:sz w:val="24"/>
          <w:szCs w:val="24"/>
        </w:rPr>
        <w:footnoteReference w:id="8"/>
      </w:r>
      <w:r w:rsidR="00EB25C5">
        <w:rPr>
          <w:sz w:val="24"/>
          <w:szCs w:val="24"/>
        </w:rPr>
        <w:t xml:space="preserve"> </w:t>
      </w:r>
      <w:r w:rsidR="00393297">
        <w:rPr>
          <w:sz w:val="24"/>
          <w:szCs w:val="24"/>
        </w:rPr>
        <w:t xml:space="preserve"> (</w:t>
      </w:r>
      <w:r w:rsidR="00393297" w:rsidRPr="00393DB0">
        <w:rPr>
          <w:b/>
          <w:sz w:val="24"/>
          <w:szCs w:val="24"/>
        </w:rPr>
        <w:t>V</w:t>
      </w:r>
      <w:r w:rsidR="00393297">
        <w:rPr>
          <w:b/>
          <w:sz w:val="24"/>
          <w:szCs w:val="24"/>
        </w:rPr>
        <w:t>oir</w:t>
      </w:r>
      <w:r w:rsidR="00393297" w:rsidRPr="00393DB0">
        <w:rPr>
          <w:b/>
          <w:sz w:val="24"/>
          <w:szCs w:val="24"/>
        </w:rPr>
        <w:t xml:space="preserve"> tableau 2</w:t>
      </w:r>
      <w:r w:rsidR="00393297">
        <w:rPr>
          <w:b/>
          <w:sz w:val="24"/>
          <w:szCs w:val="24"/>
        </w:rPr>
        <w:t xml:space="preserve">). </w:t>
      </w:r>
      <w:r w:rsidR="00393297">
        <w:rPr>
          <w:sz w:val="24"/>
          <w:szCs w:val="24"/>
        </w:rPr>
        <w:t xml:space="preserve"> </w:t>
      </w:r>
    </w:p>
    <w:p w:rsidR="00E22527" w:rsidRPr="00954FC0" w:rsidRDefault="00393297" w:rsidP="00BC6433">
      <w:pPr>
        <w:jc w:val="both"/>
        <w:rPr>
          <w:b/>
          <w:sz w:val="24"/>
          <w:szCs w:val="24"/>
        </w:rPr>
      </w:pPr>
      <w:r w:rsidRPr="00393297">
        <w:rPr>
          <w:b/>
          <w:sz w:val="24"/>
          <w:szCs w:val="24"/>
        </w:rPr>
        <w:t>Tableau 2</w:t>
      </w:r>
    </w:p>
    <w:tbl>
      <w:tblPr>
        <w:tblW w:w="58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91"/>
        <w:gridCol w:w="1828"/>
        <w:gridCol w:w="1419"/>
      </w:tblGrid>
      <w:tr w:rsidR="00E22527" w:rsidRPr="00E22527" w:rsidTr="00E22527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Donataires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Abattements (2)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Enfants (1) vivants ou représentés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100 000 €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Petits-enfants vivants ou représentés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31 865 €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Arrières petits-enfants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5 310 €</w:t>
            </w:r>
          </w:p>
        </w:tc>
      </w:tr>
      <w:tr w:rsidR="00E22527" w:rsidRPr="00E22527" w:rsidTr="00E22527">
        <w:trPr>
          <w:trHeight w:val="290"/>
        </w:trPr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Barème des droits de mutation à titre gratuit en ligne directe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Taux (2)</w:t>
            </w:r>
          </w:p>
        </w:tc>
      </w:tr>
      <w:tr w:rsidR="00E22527" w:rsidRPr="00E22527" w:rsidTr="00E22527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Jusqu'à 8072 €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 8072 € et 12 109 €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 12 109 € et 15 932 €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 15 932 € et 552 324 €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 552 324 € et 902 838 €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30%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 902 838 € et 1 805 677 €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40%</w:t>
            </w:r>
          </w:p>
        </w:tc>
      </w:tr>
      <w:tr w:rsidR="00E22527" w:rsidRPr="00E22527" w:rsidTr="00E22527">
        <w:trPr>
          <w:trHeight w:val="290"/>
        </w:trPr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Au-delà de 1 805 67 €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45%</w:t>
            </w:r>
          </w:p>
        </w:tc>
      </w:tr>
      <w:tr w:rsidR="00E22527" w:rsidRPr="00E22527" w:rsidTr="00E22527">
        <w:trPr>
          <w:trHeight w:val="133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22527" w:rsidRPr="00E22527" w:rsidTr="00E22527">
        <w:trPr>
          <w:trHeight w:val="182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/>
              </w:rPr>
              <w:t>(1) Enfants handicapés : abattement supplémentaire de 159 325 €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</w:tr>
      <w:tr w:rsidR="00E22527" w:rsidRPr="00E22527" w:rsidTr="00E22527">
        <w:trPr>
          <w:trHeight w:val="242"/>
        </w:trPr>
        <w:tc>
          <w:tcPr>
            <w:tcW w:w="5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/>
              </w:rPr>
            </w:pPr>
            <w:r w:rsidRPr="00E2252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/>
              </w:rPr>
              <w:t>(2) Article 784 CGI : abattements et application des tranches basses du barème tous les 15 ans</w:t>
            </w:r>
          </w:p>
        </w:tc>
      </w:tr>
    </w:tbl>
    <w:p w:rsidR="001C7FB8" w:rsidRDefault="001C7FB8" w:rsidP="00BC6433">
      <w:pPr>
        <w:jc w:val="both"/>
        <w:rPr>
          <w:sz w:val="24"/>
          <w:szCs w:val="24"/>
        </w:rPr>
      </w:pPr>
    </w:p>
    <w:p w:rsidR="00D70A10" w:rsidRDefault="00393DB0" w:rsidP="00BC64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Néanmoins, l</w:t>
      </w:r>
      <w:r w:rsidR="009B5F5E">
        <w:rPr>
          <w:sz w:val="24"/>
          <w:szCs w:val="24"/>
        </w:rPr>
        <w:t xml:space="preserve">a fiscalité appliquée </w:t>
      </w:r>
      <w:r w:rsidR="00943E78">
        <w:rPr>
          <w:sz w:val="24"/>
          <w:szCs w:val="24"/>
        </w:rPr>
        <w:t>à la donation-partage tran</w:t>
      </w:r>
      <w:r w:rsidR="00F44D5D">
        <w:rPr>
          <w:sz w:val="24"/>
          <w:szCs w:val="24"/>
        </w:rPr>
        <w:t>s</w:t>
      </w:r>
      <w:r w:rsidR="00943E78">
        <w:rPr>
          <w:sz w:val="24"/>
          <w:szCs w:val="24"/>
        </w:rPr>
        <w:t xml:space="preserve">générationnelle </w:t>
      </w:r>
      <w:r w:rsidR="006D6F83">
        <w:rPr>
          <w:sz w:val="24"/>
          <w:szCs w:val="24"/>
        </w:rPr>
        <w:t xml:space="preserve">apparaît </w:t>
      </w:r>
      <w:r>
        <w:rPr>
          <w:sz w:val="24"/>
          <w:szCs w:val="24"/>
        </w:rPr>
        <w:t xml:space="preserve"> </w:t>
      </w:r>
      <w:r w:rsidR="00554C59">
        <w:rPr>
          <w:sz w:val="24"/>
          <w:szCs w:val="24"/>
        </w:rPr>
        <w:t>attrayante</w:t>
      </w:r>
      <w:r>
        <w:rPr>
          <w:sz w:val="24"/>
          <w:szCs w:val="24"/>
        </w:rPr>
        <w:t xml:space="preserve"> dans la mesure où </w:t>
      </w:r>
      <w:r w:rsidR="006814BC">
        <w:rPr>
          <w:sz w:val="24"/>
          <w:szCs w:val="24"/>
        </w:rPr>
        <w:t>celle-ci</w:t>
      </w:r>
      <w:r w:rsidR="00D70A10">
        <w:rPr>
          <w:sz w:val="24"/>
          <w:szCs w:val="24"/>
        </w:rPr>
        <w:t xml:space="preserve"> permet</w:t>
      </w:r>
      <w:r w:rsidR="001C7FB8">
        <w:rPr>
          <w:sz w:val="24"/>
          <w:szCs w:val="24"/>
        </w:rPr>
        <w:t xml:space="preserve"> en toute neutralité</w:t>
      </w:r>
      <w:r w:rsidR="001C7FB8">
        <w:rPr>
          <w:b/>
          <w:sz w:val="24"/>
          <w:szCs w:val="24"/>
        </w:rPr>
        <w:t xml:space="preserve"> </w:t>
      </w:r>
      <w:r w:rsidR="001C7FB8" w:rsidRPr="001C7FB8">
        <w:rPr>
          <w:sz w:val="24"/>
          <w:szCs w:val="24"/>
        </w:rPr>
        <w:t>fiscale</w:t>
      </w:r>
      <w:r w:rsidR="00D70A10">
        <w:rPr>
          <w:sz w:val="24"/>
          <w:szCs w:val="24"/>
        </w:rPr>
        <w:t xml:space="preserve"> </w:t>
      </w:r>
      <w:r w:rsidR="001C7FB8">
        <w:rPr>
          <w:sz w:val="24"/>
          <w:szCs w:val="24"/>
        </w:rPr>
        <w:t xml:space="preserve">à un enfant </w:t>
      </w:r>
      <w:r w:rsidR="00D70A10">
        <w:rPr>
          <w:sz w:val="24"/>
          <w:szCs w:val="24"/>
        </w:rPr>
        <w:t>de renoncer</w:t>
      </w:r>
      <w:r w:rsidR="00EB25C5">
        <w:rPr>
          <w:sz w:val="24"/>
          <w:szCs w:val="24"/>
        </w:rPr>
        <w:t xml:space="preserve"> </w:t>
      </w:r>
      <w:r w:rsidR="00554C59">
        <w:rPr>
          <w:sz w:val="24"/>
          <w:szCs w:val="24"/>
        </w:rPr>
        <w:t xml:space="preserve">au profit de ses propres enfants </w:t>
      </w:r>
      <w:r w:rsidR="00EB25C5">
        <w:rPr>
          <w:sz w:val="24"/>
          <w:szCs w:val="24"/>
        </w:rPr>
        <w:t>à tout ou partie de</w:t>
      </w:r>
      <w:r w:rsidR="00D70A10">
        <w:rPr>
          <w:sz w:val="24"/>
          <w:szCs w:val="24"/>
        </w:rPr>
        <w:t xml:space="preserve"> ses droits réservataires da</w:t>
      </w:r>
      <w:r w:rsidR="00F44D5D">
        <w:rPr>
          <w:sz w:val="24"/>
          <w:szCs w:val="24"/>
        </w:rPr>
        <w:t>ns la succession du donateur</w:t>
      </w:r>
      <w:r w:rsidR="00A11D28">
        <w:rPr>
          <w:sz w:val="24"/>
          <w:szCs w:val="24"/>
        </w:rPr>
        <w:t>. Ce</w:t>
      </w:r>
      <w:r w:rsidR="00A17803">
        <w:rPr>
          <w:sz w:val="24"/>
          <w:szCs w:val="24"/>
        </w:rPr>
        <w:t xml:space="preserve"> saut de génération prévu par le</w:t>
      </w:r>
      <w:r w:rsidR="00A11D28">
        <w:rPr>
          <w:sz w:val="24"/>
          <w:szCs w:val="24"/>
        </w:rPr>
        <w:t xml:space="preserve"> code civil</w:t>
      </w:r>
      <w:r w:rsidR="00A17803">
        <w:rPr>
          <w:sz w:val="24"/>
          <w:szCs w:val="24"/>
        </w:rPr>
        <w:t xml:space="preserve"> génère en outre une économie substantielle de droits de donation </w:t>
      </w:r>
      <w:r w:rsidR="00EB25C5" w:rsidRPr="00F44D5D">
        <w:rPr>
          <w:b/>
          <w:sz w:val="24"/>
          <w:szCs w:val="24"/>
        </w:rPr>
        <w:t>(</w:t>
      </w:r>
      <w:r w:rsidR="004B2F11" w:rsidRPr="00F44D5D">
        <w:rPr>
          <w:b/>
          <w:sz w:val="24"/>
          <w:szCs w:val="24"/>
        </w:rPr>
        <w:t>Voir tableau 3</w:t>
      </w:r>
      <w:r w:rsidR="00EB25C5" w:rsidRPr="00F44D5D">
        <w:rPr>
          <w:b/>
          <w:sz w:val="24"/>
          <w:szCs w:val="24"/>
        </w:rPr>
        <w:t>)</w:t>
      </w:r>
      <w:r w:rsidR="0011644A">
        <w:rPr>
          <w:b/>
          <w:sz w:val="24"/>
          <w:szCs w:val="24"/>
        </w:rPr>
        <w:t>.</w:t>
      </w:r>
      <w:r w:rsidR="00554C59">
        <w:rPr>
          <w:b/>
          <w:sz w:val="24"/>
          <w:szCs w:val="24"/>
        </w:rPr>
        <w:t xml:space="preserve"> </w:t>
      </w:r>
      <w:r w:rsidR="00A17803">
        <w:rPr>
          <w:sz w:val="24"/>
          <w:szCs w:val="24"/>
        </w:rPr>
        <w:t>L</w:t>
      </w:r>
      <w:r w:rsidR="00A17803" w:rsidRPr="00A17803">
        <w:rPr>
          <w:sz w:val="24"/>
          <w:szCs w:val="24"/>
        </w:rPr>
        <w:t xml:space="preserve">’assiette imposable pourrait encore être réduite </w:t>
      </w:r>
      <w:r w:rsidR="00552A66" w:rsidRPr="00A17803">
        <w:rPr>
          <w:sz w:val="24"/>
          <w:szCs w:val="24"/>
        </w:rPr>
        <w:t>d</w:t>
      </w:r>
      <w:r w:rsidR="00EB25C5" w:rsidRPr="00A17803">
        <w:rPr>
          <w:sz w:val="24"/>
          <w:szCs w:val="24"/>
        </w:rPr>
        <w:t>ans l’hypothèse où</w:t>
      </w:r>
      <w:r w:rsidR="00D15B6B" w:rsidRPr="00A17803">
        <w:rPr>
          <w:sz w:val="24"/>
          <w:szCs w:val="24"/>
        </w:rPr>
        <w:t xml:space="preserve"> </w:t>
      </w:r>
      <w:r w:rsidR="00554C59" w:rsidRPr="00A17803">
        <w:rPr>
          <w:sz w:val="24"/>
          <w:szCs w:val="24"/>
        </w:rPr>
        <w:t xml:space="preserve">le </w:t>
      </w:r>
      <w:r w:rsidR="0011644A" w:rsidRPr="00A17803">
        <w:rPr>
          <w:sz w:val="24"/>
          <w:szCs w:val="24"/>
        </w:rPr>
        <w:t>dirigeant d</w:t>
      </w:r>
      <w:r w:rsidR="0011644A">
        <w:rPr>
          <w:sz w:val="24"/>
          <w:szCs w:val="24"/>
        </w:rPr>
        <w:t>onateur souhait</w:t>
      </w:r>
      <w:r w:rsidR="00554C59">
        <w:rPr>
          <w:sz w:val="24"/>
          <w:szCs w:val="24"/>
        </w:rPr>
        <w:t>erait se réserver l’usufruit de ses</w:t>
      </w:r>
      <w:r w:rsidR="0011644A">
        <w:rPr>
          <w:sz w:val="24"/>
          <w:szCs w:val="24"/>
        </w:rPr>
        <w:t xml:space="preserve"> titres a</w:t>
      </w:r>
      <w:r w:rsidR="00A17803">
        <w:rPr>
          <w:sz w:val="24"/>
          <w:szCs w:val="24"/>
        </w:rPr>
        <w:t>fin d’en percevoir les revenus. L</w:t>
      </w:r>
      <w:r w:rsidR="00552A66">
        <w:rPr>
          <w:sz w:val="24"/>
          <w:szCs w:val="24"/>
        </w:rPr>
        <w:t>a</w:t>
      </w:r>
      <w:r w:rsidR="00982C3E">
        <w:rPr>
          <w:sz w:val="24"/>
          <w:szCs w:val="24"/>
        </w:rPr>
        <w:t xml:space="preserve"> </w:t>
      </w:r>
      <w:r w:rsidR="00C40EB2">
        <w:rPr>
          <w:sz w:val="24"/>
          <w:szCs w:val="24"/>
        </w:rPr>
        <w:t>donation-partage</w:t>
      </w:r>
      <w:r w:rsidR="00982C3E">
        <w:rPr>
          <w:sz w:val="24"/>
          <w:szCs w:val="24"/>
        </w:rPr>
        <w:t xml:space="preserve"> </w:t>
      </w:r>
      <w:r w:rsidR="006814BC">
        <w:rPr>
          <w:sz w:val="24"/>
          <w:szCs w:val="24"/>
        </w:rPr>
        <w:t xml:space="preserve">transgénérationnelle </w:t>
      </w:r>
      <w:r w:rsidR="00EB25C5">
        <w:rPr>
          <w:sz w:val="24"/>
          <w:szCs w:val="24"/>
        </w:rPr>
        <w:t>serait</w:t>
      </w:r>
      <w:r w:rsidR="00982C3E">
        <w:rPr>
          <w:sz w:val="24"/>
          <w:szCs w:val="24"/>
        </w:rPr>
        <w:t xml:space="preserve"> </w:t>
      </w:r>
      <w:r w:rsidR="0011644A">
        <w:rPr>
          <w:sz w:val="24"/>
          <w:szCs w:val="24"/>
        </w:rPr>
        <w:t xml:space="preserve">alors </w:t>
      </w:r>
      <w:r w:rsidR="00C40EB2">
        <w:rPr>
          <w:sz w:val="24"/>
          <w:szCs w:val="24"/>
        </w:rPr>
        <w:t>réalisé</w:t>
      </w:r>
      <w:r w:rsidR="00D15B6B">
        <w:rPr>
          <w:sz w:val="24"/>
          <w:szCs w:val="24"/>
        </w:rPr>
        <w:t>e</w:t>
      </w:r>
      <w:r w:rsidR="00982C3E">
        <w:rPr>
          <w:sz w:val="24"/>
          <w:szCs w:val="24"/>
        </w:rPr>
        <w:t xml:space="preserve"> en </w:t>
      </w:r>
      <w:r w:rsidR="000F2FFD">
        <w:rPr>
          <w:sz w:val="24"/>
          <w:szCs w:val="24"/>
        </w:rPr>
        <w:t>nue-propriété</w:t>
      </w:r>
      <w:r w:rsidR="00982C3E">
        <w:rPr>
          <w:sz w:val="24"/>
          <w:szCs w:val="24"/>
        </w:rPr>
        <w:t xml:space="preserve"> </w:t>
      </w:r>
      <w:r w:rsidR="00554C59">
        <w:rPr>
          <w:sz w:val="24"/>
          <w:szCs w:val="24"/>
        </w:rPr>
        <w:t>au profit de ses</w:t>
      </w:r>
      <w:r w:rsidR="00D70A10">
        <w:rPr>
          <w:sz w:val="24"/>
          <w:szCs w:val="24"/>
        </w:rPr>
        <w:t xml:space="preserve"> </w:t>
      </w:r>
      <w:r w:rsidR="001C7FB8">
        <w:rPr>
          <w:sz w:val="24"/>
          <w:szCs w:val="24"/>
        </w:rPr>
        <w:t>petits-enfants</w:t>
      </w:r>
      <w:r w:rsidR="00D70A10">
        <w:rPr>
          <w:sz w:val="24"/>
          <w:szCs w:val="24"/>
        </w:rPr>
        <w:t xml:space="preserve"> </w:t>
      </w:r>
      <w:r w:rsidR="0011644A">
        <w:rPr>
          <w:sz w:val="24"/>
          <w:szCs w:val="24"/>
        </w:rPr>
        <w:t xml:space="preserve">avec des </w:t>
      </w:r>
      <w:r w:rsidR="00D15B6B">
        <w:rPr>
          <w:sz w:val="24"/>
          <w:szCs w:val="24"/>
        </w:rPr>
        <w:t xml:space="preserve">droits </w:t>
      </w:r>
      <w:r w:rsidR="0011644A">
        <w:rPr>
          <w:sz w:val="24"/>
          <w:szCs w:val="24"/>
        </w:rPr>
        <w:t>calculés sur cette</w:t>
      </w:r>
      <w:r w:rsidR="00D15B6B">
        <w:rPr>
          <w:sz w:val="24"/>
          <w:szCs w:val="24"/>
        </w:rPr>
        <w:t xml:space="preserve"> seule v</w:t>
      </w:r>
      <w:r w:rsidR="0011644A">
        <w:rPr>
          <w:sz w:val="24"/>
          <w:szCs w:val="24"/>
        </w:rPr>
        <w:t>aleur de nue-propriété</w:t>
      </w:r>
      <w:r w:rsidR="00D15B6B" w:rsidRPr="00AB0B5D">
        <w:rPr>
          <w:rStyle w:val="Appelnotedebasdep"/>
          <w:color w:val="000000" w:themeColor="text1"/>
          <w:sz w:val="24"/>
          <w:szCs w:val="24"/>
        </w:rPr>
        <w:footnoteReference w:id="9"/>
      </w:r>
      <w:r w:rsidR="00B5366D" w:rsidRPr="00AB0B5D">
        <w:rPr>
          <w:color w:val="000000" w:themeColor="text1"/>
          <w:sz w:val="24"/>
          <w:szCs w:val="24"/>
        </w:rPr>
        <w:t>.</w:t>
      </w:r>
      <w:r w:rsidR="000F2FFD" w:rsidRPr="00AB0B5D">
        <w:rPr>
          <w:color w:val="000000" w:themeColor="text1"/>
          <w:sz w:val="24"/>
          <w:szCs w:val="24"/>
        </w:rPr>
        <w:t xml:space="preserve"> </w:t>
      </w:r>
      <w:r w:rsidR="00A17803">
        <w:rPr>
          <w:sz w:val="24"/>
          <w:szCs w:val="24"/>
        </w:rPr>
        <w:t>Dans ce cadre, l</w:t>
      </w:r>
      <w:r w:rsidR="00A10951">
        <w:rPr>
          <w:sz w:val="24"/>
          <w:szCs w:val="24"/>
        </w:rPr>
        <w:t>e dirigeant</w:t>
      </w:r>
      <w:r w:rsidR="00D70A10">
        <w:rPr>
          <w:sz w:val="24"/>
          <w:szCs w:val="24"/>
        </w:rPr>
        <w:t xml:space="preserve"> pourra</w:t>
      </w:r>
      <w:r w:rsidR="00EB25C5">
        <w:rPr>
          <w:sz w:val="24"/>
          <w:szCs w:val="24"/>
        </w:rPr>
        <w:t>it</w:t>
      </w:r>
      <w:r w:rsidR="00D70A10">
        <w:rPr>
          <w:sz w:val="24"/>
          <w:szCs w:val="24"/>
        </w:rPr>
        <w:t xml:space="preserve"> </w:t>
      </w:r>
      <w:r w:rsidR="00A10951">
        <w:rPr>
          <w:sz w:val="24"/>
          <w:szCs w:val="24"/>
        </w:rPr>
        <w:t xml:space="preserve">également </w:t>
      </w:r>
      <w:r w:rsidR="00D70A10">
        <w:rPr>
          <w:sz w:val="24"/>
          <w:szCs w:val="24"/>
        </w:rPr>
        <w:t>prévoi</w:t>
      </w:r>
      <w:r w:rsidR="00943E78">
        <w:rPr>
          <w:sz w:val="24"/>
          <w:szCs w:val="24"/>
        </w:rPr>
        <w:t xml:space="preserve">r </w:t>
      </w:r>
      <w:r w:rsidR="00AD3D58">
        <w:rPr>
          <w:sz w:val="24"/>
          <w:szCs w:val="24"/>
        </w:rPr>
        <w:t xml:space="preserve">à l’acte, que </w:t>
      </w:r>
      <w:r w:rsidR="00943E78">
        <w:rPr>
          <w:sz w:val="24"/>
          <w:szCs w:val="24"/>
        </w:rPr>
        <w:t>postérieurement à l’éventuelle</w:t>
      </w:r>
      <w:r w:rsidR="00D70A10">
        <w:rPr>
          <w:sz w:val="24"/>
          <w:szCs w:val="24"/>
        </w:rPr>
        <w:t xml:space="preserve"> réversion de l’usufruit au conjoint survivant</w:t>
      </w:r>
      <w:r w:rsidR="00EB25C5">
        <w:rPr>
          <w:sz w:val="24"/>
          <w:szCs w:val="24"/>
        </w:rPr>
        <w:t>,</w:t>
      </w:r>
      <w:r w:rsidR="00AD3D58">
        <w:rPr>
          <w:sz w:val="24"/>
          <w:szCs w:val="24"/>
        </w:rPr>
        <w:t xml:space="preserve"> </w:t>
      </w:r>
      <w:r w:rsidR="00552A66">
        <w:rPr>
          <w:sz w:val="24"/>
          <w:szCs w:val="24"/>
        </w:rPr>
        <w:t>soit</w:t>
      </w:r>
      <w:r w:rsidR="00AD3D58">
        <w:rPr>
          <w:sz w:val="24"/>
          <w:szCs w:val="24"/>
        </w:rPr>
        <w:t xml:space="preserve"> constitué </w:t>
      </w:r>
      <w:r w:rsidR="00D70A10">
        <w:rPr>
          <w:sz w:val="24"/>
          <w:szCs w:val="24"/>
        </w:rPr>
        <w:t xml:space="preserve">un </w:t>
      </w:r>
      <w:r w:rsidR="00AF54E1">
        <w:rPr>
          <w:sz w:val="24"/>
          <w:szCs w:val="24"/>
        </w:rPr>
        <w:t xml:space="preserve">second </w:t>
      </w:r>
      <w:r w:rsidR="00D70A10">
        <w:rPr>
          <w:sz w:val="24"/>
          <w:szCs w:val="24"/>
        </w:rPr>
        <w:t>usufruit su</w:t>
      </w:r>
      <w:r w:rsidR="00943E78">
        <w:rPr>
          <w:sz w:val="24"/>
          <w:szCs w:val="24"/>
        </w:rPr>
        <w:t>ccessif au profit de ses</w:t>
      </w:r>
      <w:r w:rsidR="00D70A10">
        <w:rPr>
          <w:sz w:val="24"/>
          <w:szCs w:val="24"/>
        </w:rPr>
        <w:t xml:space="preserve"> enfant</w:t>
      </w:r>
      <w:r w:rsidR="00943E78">
        <w:rPr>
          <w:sz w:val="24"/>
          <w:szCs w:val="24"/>
        </w:rPr>
        <w:t>s</w:t>
      </w:r>
      <w:r w:rsidR="00D84CD3">
        <w:rPr>
          <w:rStyle w:val="Appelnotedebasdep"/>
          <w:sz w:val="24"/>
          <w:szCs w:val="24"/>
        </w:rPr>
        <w:footnoteReference w:id="10"/>
      </w:r>
      <w:r w:rsidR="0011644A">
        <w:rPr>
          <w:sz w:val="24"/>
          <w:szCs w:val="24"/>
        </w:rPr>
        <w:t xml:space="preserve">. </w:t>
      </w:r>
      <w:r w:rsidR="00552A66">
        <w:rPr>
          <w:sz w:val="24"/>
          <w:szCs w:val="24"/>
        </w:rPr>
        <w:t>Ce dernier</w:t>
      </w:r>
      <w:r w:rsidR="00D84CD3">
        <w:rPr>
          <w:sz w:val="24"/>
          <w:szCs w:val="24"/>
        </w:rPr>
        <w:t xml:space="preserve"> s’éteindra</w:t>
      </w:r>
      <w:r w:rsidR="00554C59">
        <w:rPr>
          <w:sz w:val="24"/>
          <w:szCs w:val="24"/>
        </w:rPr>
        <w:t>it</w:t>
      </w:r>
      <w:r w:rsidR="00D84CD3">
        <w:rPr>
          <w:sz w:val="24"/>
          <w:szCs w:val="24"/>
        </w:rPr>
        <w:t xml:space="preserve"> à leurs décès</w:t>
      </w:r>
      <w:r w:rsidR="00AB2D7A">
        <w:rPr>
          <w:sz w:val="24"/>
          <w:szCs w:val="24"/>
        </w:rPr>
        <w:t xml:space="preserve">, les petits-enfants </w:t>
      </w:r>
      <w:proofErr w:type="spellStart"/>
      <w:r w:rsidR="00AB2D7A">
        <w:rPr>
          <w:sz w:val="24"/>
          <w:szCs w:val="24"/>
        </w:rPr>
        <w:t>nus-propriétaires</w:t>
      </w:r>
      <w:proofErr w:type="spellEnd"/>
      <w:r w:rsidR="00AB2D7A">
        <w:rPr>
          <w:sz w:val="24"/>
          <w:szCs w:val="24"/>
        </w:rPr>
        <w:t xml:space="preserve"> devenant ainsi pleins propriétaires </w:t>
      </w:r>
      <w:r w:rsidR="00B5366D">
        <w:rPr>
          <w:sz w:val="24"/>
          <w:szCs w:val="24"/>
        </w:rPr>
        <w:t xml:space="preserve">sans </w:t>
      </w:r>
      <w:r w:rsidR="00F44D5D">
        <w:rPr>
          <w:sz w:val="24"/>
          <w:szCs w:val="24"/>
        </w:rPr>
        <w:t>droit</w:t>
      </w:r>
      <w:r w:rsidR="00552A66">
        <w:rPr>
          <w:sz w:val="24"/>
          <w:szCs w:val="24"/>
        </w:rPr>
        <w:t>s</w:t>
      </w:r>
      <w:r w:rsidR="00B5366D">
        <w:rPr>
          <w:sz w:val="24"/>
          <w:szCs w:val="24"/>
        </w:rPr>
        <w:t xml:space="preserve"> supplémentaires</w:t>
      </w:r>
      <w:r w:rsidR="00B5366D">
        <w:rPr>
          <w:rStyle w:val="Appelnotedebasdep"/>
          <w:sz w:val="24"/>
          <w:szCs w:val="24"/>
        </w:rPr>
        <w:footnoteReference w:id="11"/>
      </w:r>
      <w:r w:rsidR="00B5534E">
        <w:rPr>
          <w:sz w:val="24"/>
          <w:szCs w:val="24"/>
        </w:rPr>
        <w:t>.</w:t>
      </w:r>
      <w:r w:rsidR="00F67F21">
        <w:rPr>
          <w:sz w:val="24"/>
          <w:szCs w:val="24"/>
        </w:rPr>
        <w:t xml:space="preserve"> </w:t>
      </w:r>
    </w:p>
    <w:p w:rsidR="00517263" w:rsidRPr="00AB0B5D" w:rsidRDefault="00517263" w:rsidP="00BC6433">
      <w:pPr>
        <w:contextualSpacing/>
        <w:jc w:val="both"/>
        <w:rPr>
          <w:b/>
          <w:sz w:val="16"/>
          <w:szCs w:val="16"/>
        </w:rPr>
      </w:pPr>
    </w:p>
    <w:p w:rsidR="00781228" w:rsidRPr="00781228" w:rsidRDefault="00AB0B5D" w:rsidP="00BC6433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81228" w:rsidRPr="00A015A5">
        <w:rPr>
          <w:b/>
          <w:sz w:val="24"/>
          <w:szCs w:val="24"/>
        </w:rPr>
        <w:t>éincorporation des donations antérieures</w:t>
      </w:r>
    </w:p>
    <w:p w:rsidR="00F44D5D" w:rsidRPr="00F44D5D" w:rsidRDefault="00781228" w:rsidP="00BC64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552A66">
        <w:rPr>
          <w:sz w:val="24"/>
          <w:szCs w:val="24"/>
        </w:rPr>
        <w:t xml:space="preserve">i le dirigeant a </w:t>
      </w:r>
      <w:r w:rsidR="000B0C03">
        <w:rPr>
          <w:sz w:val="24"/>
          <w:szCs w:val="24"/>
        </w:rPr>
        <w:t xml:space="preserve">déjà </w:t>
      </w:r>
      <w:r w:rsidR="0068296C">
        <w:rPr>
          <w:sz w:val="24"/>
          <w:szCs w:val="24"/>
        </w:rPr>
        <w:t xml:space="preserve">transmis </w:t>
      </w:r>
      <w:r w:rsidR="00345AC9">
        <w:rPr>
          <w:sz w:val="24"/>
          <w:szCs w:val="24"/>
        </w:rPr>
        <w:t xml:space="preserve">une partie de </w:t>
      </w:r>
      <w:r w:rsidR="0068296C">
        <w:rPr>
          <w:sz w:val="24"/>
          <w:szCs w:val="24"/>
        </w:rPr>
        <w:t>ses titres à ses enfants</w:t>
      </w:r>
      <w:r w:rsidR="00184CCD">
        <w:rPr>
          <w:sz w:val="24"/>
          <w:szCs w:val="24"/>
        </w:rPr>
        <w:t xml:space="preserve"> lors de</w:t>
      </w:r>
      <w:r w:rsidR="00E44803">
        <w:rPr>
          <w:sz w:val="24"/>
          <w:szCs w:val="24"/>
        </w:rPr>
        <w:t xml:space="preserve"> donation</w:t>
      </w:r>
      <w:r w:rsidR="00184CCD">
        <w:rPr>
          <w:sz w:val="24"/>
          <w:szCs w:val="24"/>
        </w:rPr>
        <w:t>s</w:t>
      </w:r>
      <w:r w:rsidR="00B917D8">
        <w:rPr>
          <w:sz w:val="24"/>
          <w:szCs w:val="24"/>
        </w:rPr>
        <w:t xml:space="preserve"> antérieure</w:t>
      </w:r>
      <w:r w:rsidR="00184CCD">
        <w:rPr>
          <w:sz w:val="24"/>
          <w:szCs w:val="24"/>
        </w:rPr>
        <w:t>s</w:t>
      </w:r>
      <w:r w:rsidR="00F44D5D">
        <w:rPr>
          <w:sz w:val="24"/>
          <w:szCs w:val="24"/>
        </w:rPr>
        <w:t xml:space="preserve">, </w:t>
      </w:r>
      <w:r w:rsidR="00552A66">
        <w:rPr>
          <w:sz w:val="24"/>
          <w:szCs w:val="24"/>
        </w:rPr>
        <w:t>il pourra</w:t>
      </w:r>
      <w:r w:rsidR="00F44D5D">
        <w:rPr>
          <w:sz w:val="24"/>
          <w:szCs w:val="24"/>
        </w:rPr>
        <w:t xml:space="preserve"> </w:t>
      </w:r>
      <w:r w:rsidR="00554C59">
        <w:rPr>
          <w:sz w:val="24"/>
          <w:szCs w:val="24"/>
        </w:rPr>
        <w:t xml:space="preserve">les </w:t>
      </w:r>
      <w:r w:rsidR="00345AC9">
        <w:rPr>
          <w:sz w:val="24"/>
          <w:szCs w:val="24"/>
        </w:rPr>
        <w:t xml:space="preserve">réincorporer </w:t>
      </w:r>
      <w:r w:rsidR="006D6F83">
        <w:rPr>
          <w:sz w:val="24"/>
          <w:szCs w:val="24"/>
        </w:rPr>
        <w:t xml:space="preserve">à une </w:t>
      </w:r>
      <w:r w:rsidR="00951CA5">
        <w:rPr>
          <w:sz w:val="24"/>
          <w:szCs w:val="24"/>
        </w:rPr>
        <w:t>donation-partage</w:t>
      </w:r>
      <w:r w:rsidR="006D6F83">
        <w:rPr>
          <w:sz w:val="24"/>
          <w:szCs w:val="24"/>
        </w:rPr>
        <w:t xml:space="preserve"> transgénérationnelle</w:t>
      </w:r>
      <w:r w:rsidR="00552A66">
        <w:rPr>
          <w:sz w:val="24"/>
          <w:szCs w:val="24"/>
        </w:rPr>
        <w:t>, l</w:t>
      </w:r>
      <w:r w:rsidR="0011644A">
        <w:rPr>
          <w:sz w:val="24"/>
          <w:szCs w:val="24"/>
        </w:rPr>
        <w:t xml:space="preserve">es </w:t>
      </w:r>
      <w:r w:rsidR="00345AC9">
        <w:rPr>
          <w:sz w:val="24"/>
          <w:szCs w:val="24"/>
        </w:rPr>
        <w:t>enfants précédemment allotis</w:t>
      </w:r>
      <w:r w:rsidR="000D0C5B">
        <w:rPr>
          <w:sz w:val="24"/>
          <w:szCs w:val="24"/>
        </w:rPr>
        <w:t xml:space="preserve"> </w:t>
      </w:r>
      <w:r w:rsidR="00552A66">
        <w:rPr>
          <w:sz w:val="24"/>
          <w:szCs w:val="24"/>
        </w:rPr>
        <w:t>devant</w:t>
      </w:r>
      <w:r w:rsidR="00554C59">
        <w:rPr>
          <w:sz w:val="24"/>
          <w:szCs w:val="24"/>
        </w:rPr>
        <w:t xml:space="preserve"> alors</w:t>
      </w:r>
      <w:r w:rsidR="0011644A">
        <w:rPr>
          <w:sz w:val="24"/>
          <w:szCs w:val="24"/>
        </w:rPr>
        <w:t xml:space="preserve"> </w:t>
      </w:r>
      <w:r w:rsidR="00FB3E23">
        <w:rPr>
          <w:sz w:val="24"/>
          <w:szCs w:val="24"/>
        </w:rPr>
        <w:t>accepter</w:t>
      </w:r>
      <w:r w:rsidR="0011644A">
        <w:rPr>
          <w:sz w:val="24"/>
          <w:szCs w:val="24"/>
        </w:rPr>
        <w:t xml:space="preserve"> à l’acte </w:t>
      </w:r>
      <w:r w:rsidR="00554C59">
        <w:rPr>
          <w:sz w:val="24"/>
          <w:szCs w:val="24"/>
        </w:rPr>
        <w:t>un</w:t>
      </w:r>
      <w:r w:rsidR="0011644A">
        <w:rPr>
          <w:sz w:val="24"/>
          <w:szCs w:val="24"/>
        </w:rPr>
        <w:t xml:space="preserve"> </w:t>
      </w:r>
      <w:r w:rsidR="00B917D8">
        <w:rPr>
          <w:sz w:val="24"/>
          <w:szCs w:val="24"/>
        </w:rPr>
        <w:t xml:space="preserve">changement d’attributaire au profit </w:t>
      </w:r>
      <w:r w:rsidR="005323C8">
        <w:rPr>
          <w:sz w:val="24"/>
          <w:szCs w:val="24"/>
        </w:rPr>
        <w:t xml:space="preserve">de </w:t>
      </w:r>
      <w:r w:rsidR="00345AC9">
        <w:rPr>
          <w:sz w:val="24"/>
          <w:szCs w:val="24"/>
        </w:rPr>
        <w:t>leurs propres enfants</w:t>
      </w:r>
      <w:r w:rsidR="00AE078B">
        <w:rPr>
          <w:rStyle w:val="Appelnotedebasdep"/>
          <w:sz w:val="24"/>
          <w:szCs w:val="24"/>
        </w:rPr>
        <w:footnoteReference w:id="12"/>
      </w:r>
      <w:r w:rsidR="00B917D8">
        <w:rPr>
          <w:sz w:val="24"/>
          <w:szCs w:val="24"/>
        </w:rPr>
        <w:t xml:space="preserve">. </w:t>
      </w:r>
      <w:r w:rsidR="00552A66">
        <w:rPr>
          <w:sz w:val="24"/>
          <w:szCs w:val="24"/>
        </w:rPr>
        <w:t xml:space="preserve"> </w:t>
      </w:r>
      <w:r w:rsidR="00AE078B">
        <w:rPr>
          <w:sz w:val="24"/>
          <w:szCs w:val="24"/>
        </w:rPr>
        <w:t>A condition qu’il n’y ait pas de nouveaux titres donnés</w:t>
      </w:r>
      <w:r w:rsidR="00BF1428">
        <w:rPr>
          <w:sz w:val="24"/>
          <w:szCs w:val="24"/>
        </w:rPr>
        <w:t xml:space="preserve"> et </w:t>
      </w:r>
      <w:r w:rsidR="00BF1428" w:rsidRPr="00220D88">
        <w:rPr>
          <w:sz w:val="24"/>
          <w:szCs w:val="24"/>
        </w:rPr>
        <w:t>que la donation antérieure ait été réalisée il y a plus de 15 ans</w:t>
      </w:r>
      <w:r w:rsidR="00AE078B">
        <w:rPr>
          <w:sz w:val="24"/>
          <w:szCs w:val="24"/>
        </w:rPr>
        <w:t>, c</w:t>
      </w:r>
      <w:r w:rsidR="005323C8">
        <w:rPr>
          <w:sz w:val="24"/>
          <w:szCs w:val="24"/>
        </w:rPr>
        <w:t>ette réincorporation</w:t>
      </w:r>
      <w:r w:rsidR="00467799">
        <w:rPr>
          <w:sz w:val="24"/>
          <w:szCs w:val="24"/>
        </w:rPr>
        <w:t xml:space="preserve"> </w:t>
      </w:r>
      <w:r w:rsidR="0068296C">
        <w:rPr>
          <w:sz w:val="24"/>
          <w:szCs w:val="24"/>
        </w:rPr>
        <w:t xml:space="preserve">sera imposée </w:t>
      </w:r>
      <w:r w:rsidR="001C7FB8">
        <w:rPr>
          <w:sz w:val="24"/>
          <w:szCs w:val="24"/>
        </w:rPr>
        <w:t xml:space="preserve">au droit de partage de 2,5% </w:t>
      </w:r>
      <w:r w:rsidR="00FB3E23">
        <w:rPr>
          <w:sz w:val="24"/>
          <w:szCs w:val="24"/>
        </w:rPr>
        <w:t>selon</w:t>
      </w:r>
      <w:r w:rsidR="0017569C">
        <w:rPr>
          <w:sz w:val="24"/>
          <w:szCs w:val="24"/>
        </w:rPr>
        <w:t xml:space="preserve"> </w:t>
      </w:r>
      <w:r w:rsidR="000D0C5B">
        <w:rPr>
          <w:sz w:val="24"/>
          <w:szCs w:val="24"/>
        </w:rPr>
        <w:t>la</w:t>
      </w:r>
      <w:r w:rsidR="0017569C">
        <w:rPr>
          <w:sz w:val="24"/>
          <w:szCs w:val="24"/>
        </w:rPr>
        <w:t xml:space="preserve"> valeur des titres </w:t>
      </w:r>
      <w:r w:rsidR="00AB0B5D">
        <w:rPr>
          <w:sz w:val="24"/>
          <w:szCs w:val="24"/>
        </w:rPr>
        <w:t>à cette date</w:t>
      </w:r>
      <w:r w:rsidR="0017569C">
        <w:rPr>
          <w:rStyle w:val="Appelnotedebasdep"/>
          <w:sz w:val="24"/>
          <w:szCs w:val="24"/>
        </w:rPr>
        <w:footnoteReference w:id="13"/>
      </w:r>
      <w:r w:rsidR="00BF1428">
        <w:rPr>
          <w:sz w:val="24"/>
          <w:szCs w:val="24"/>
        </w:rPr>
        <w:t>. Dans le</w:t>
      </w:r>
      <w:r w:rsidR="00220D88" w:rsidRPr="00220D88">
        <w:rPr>
          <w:sz w:val="24"/>
          <w:szCs w:val="24"/>
        </w:rPr>
        <w:t xml:space="preserve"> cas contraire</w:t>
      </w:r>
      <w:r w:rsidR="00AE078B">
        <w:rPr>
          <w:sz w:val="24"/>
          <w:szCs w:val="24"/>
        </w:rPr>
        <w:t xml:space="preserve">, </w:t>
      </w:r>
      <w:r w:rsidR="00220D88">
        <w:rPr>
          <w:sz w:val="24"/>
          <w:szCs w:val="24"/>
        </w:rPr>
        <w:t>les</w:t>
      </w:r>
      <w:r w:rsidR="006D74FF">
        <w:rPr>
          <w:sz w:val="24"/>
          <w:szCs w:val="24"/>
        </w:rPr>
        <w:t xml:space="preserve"> droit</w:t>
      </w:r>
      <w:r w:rsidR="00AE078B">
        <w:rPr>
          <w:sz w:val="24"/>
          <w:szCs w:val="24"/>
        </w:rPr>
        <w:t>s</w:t>
      </w:r>
      <w:r w:rsidR="0017569C">
        <w:rPr>
          <w:sz w:val="24"/>
          <w:szCs w:val="24"/>
        </w:rPr>
        <w:t xml:space="preserve"> </w:t>
      </w:r>
      <w:r w:rsidR="006D74FF">
        <w:rPr>
          <w:sz w:val="24"/>
          <w:szCs w:val="24"/>
        </w:rPr>
        <w:t xml:space="preserve">de mutation à titre gratuit </w:t>
      </w:r>
      <w:r w:rsidR="00220D88">
        <w:rPr>
          <w:sz w:val="24"/>
          <w:szCs w:val="24"/>
        </w:rPr>
        <w:t xml:space="preserve">seront applicables </w:t>
      </w:r>
      <w:r w:rsidR="00220D88" w:rsidRPr="00220D88">
        <w:rPr>
          <w:sz w:val="24"/>
          <w:szCs w:val="24"/>
        </w:rPr>
        <w:t>avec imputation des droits acquittés lors de la donation précédente</w:t>
      </w:r>
      <w:r w:rsidR="00BF1428">
        <w:rPr>
          <w:sz w:val="24"/>
          <w:szCs w:val="24"/>
        </w:rPr>
        <w:t>,</w:t>
      </w:r>
      <w:r w:rsidR="00220D88" w:rsidRPr="00220D88">
        <w:t xml:space="preserve"> </w:t>
      </w:r>
      <w:r w:rsidR="00220D88">
        <w:rPr>
          <w:sz w:val="24"/>
          <w:szCs w:val="24"/>
        </w:rPr>
        <w:t>ce qui dans certains cas pourra</w:t>
      </w:r>
      <w:r w:rsidR="007C67BB">
        <w:rPr>
          <w:sz w:val="24"/>
          <w:szCs w:val="24"/>
        </w:rPr>
        <w:t>it</w:t>
      </w:r>
      <w:r w:rsidR="00220D88">
        <w:rPr>
          <w:sz w:val="24"/>
          <w:szCs w:val="24"/>
        </w:rPr>
        <w:t xml:space="preserve"> se révéler plus intéressant</w:t>
      </w:r>
      <w:r w:rsidR="00345AC9" w:rsidRPr="00220D88">
        <w:rPr>
          <w:rStyle w:val="Appelnotedebasdep"/>
          <w:sz w:val="24"/>
          <w:szCs w:val="24"/>
        </w:rPr>
        <w:footnoteReference w:id="14"/>
      </w:r>
      <w:r w:rsidR="006D6F83">
        <w:rPr>
          <w:sz w:val="24"/>
          <w:szCs w:val="24"/>
        </w:rPr>
        <w:t xml:space="preserve">. </w:t>
      </w:r>
      <w:r w:rsidR="00F44D5D">
        <w:rPr>
          <w:b/>
          <w:sz w:val="24"/>
          <w:szCs w:val="24"/>
        </w:rPr>
        <w:t>(Voir tableau 3)</w:t>
      </w:r>
    </w:p>
    <w:p w:rsidR="00C00424" w:rsidRDefault="00220D88" w:rsidP="00BC6433">
      <w:pPr>
        <w:jc w:val="both"/>
        <w:rPr>
          <w:b/>
          <w:sz w:val="24"/>
          <w:szCs w:val="24"/>
        </w:rPr>
      </w:pPr>
      <w:r w:rsidRPr="00220D88">
        <w:rPr>
          <w:b/>
          <w:sz w:val="24"/>
          <w:szCs w:val="24"/>
        </w:rPr>
        <w:t>Tableau 3</w:t>
      </w:r>
    </w:p>
    <w:p w:rsidR="007A25F7" w:rsidRPr="00220D88" w:rsidRDefault="00E97157" w:rsidP="00BC6433">
      <w:pPr>
        <w:jc w:val="both"/>
        <w:rPr>
          <w:b/>
          <w:sz w:val="24"/>
          <w:szCs w:val="24"/>
        </w:rPr>
      </w:pPr>
      <w:r w:rsidRPr="009C63AA">
        <w:rPr>
          <w:noProof/>
          <w:sz w:val="28"/>
          <w:szCs w:val="28"/>
          <w:lang w:eastAsia="fr-FR"/>
        </w:rPr>
        <w:drawing>
          <wp:inline distT="0" distB="0" distL="0" distR="0" wp14:anchorId="6F2396CC" wp14:editId="435CF4F7">
            <wp:extent cx="5753100" cy="1623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89" cy="16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5D" w:rsidRDefault="00DA2FAE" w:rsidP="00951CA5">
      <w:pPr>
        <w:jc w:val="both"/>
        <w:rPr>
          <w:b/>
          <w:sz w:val="24"/>
          <w:szCs w:val="24"/>
        </w:rPr>
      </w:pPr>
      <w:r w:rsidRPr="009C63AA">
        <w:rPr>
          <w:b/>
          <w:sz w:val="24"/>
          <w:szCs w:val="24"/>
        </w:rPr>
        <w:lastRenderedPageBreak/>
        <w:t>Application à la t</w:t>
      </w:r>
      <w:r w:rsidR="00781228" w:rsidRPr="009C63AA">
        <w:rPr>
          <w:b/>
          <w:sz w:val="24"/>
          <w:szCs w:val="24"/>
        </w:rPr>
        <w:t>ransmission familiale de l’entreprise </w:t>
      </w:r>
      <w:r w:rsidRPr="009C63AA">
        <w:rPr>
          <w:b/>
          <w:sz w:val="24"/>
          <w:szCs w:val="24"/>
        </w:rPr>
        <w:t xml:space="preserve"> </w:t>
      </w:r>
    </w:p>
    <w:p w:rsidR="00951CA5" w:rsidRPr="00AB0B5D" w:rsidRDefault="009C63AA" w:rsidP="00951CA5">
      <w:pPr>
        <w:jc w:val="both"/>
        <w:rPr>
          <w:b/>
          <w:sz w:val="24"/>
          <w:szCs w:val="24"/>
        </w:rPr>
      </w:pPr>
      <w:r w:rsidRPr="00514E99">
        <w:rPr>
          <w:color w:val="000000" w:themeColor="text1"/>
          <w:sz w:val="24"/>
          <w:szCs w:val="24"/>
        </w:rPr>
        <w:t>Le dirigeant peut souhaiter anticiper</w:t>
      </w:r>
      <w:r w:rsidR="007E6CDB" w:rsidRPr="00514E99">
        <w:rPr>
          <w:color w:val="000000" w:themeColor="text1"/>
          <w:sz w:val="24"/>
          <w:szCs w:val="24"/>
        </w:rPr>
        <w:t xml:space="preserve"> </w:t>
      </w:r>
      <w:r w:rsidRPr="00514E99">
        <w:rPr>
          <w:color w:val="000000" w:themeColor="text1"/>
          <w:sz w:val="24"/>
          <w:szCs w:val="24"/>
        </w:rPr>
        <w:t xml:space="preserve">la transmission du capital de son </w:t>
      </w:r>
      <w:r w:rsidR="007E6CDB" w:rsidRPr="00514E99">
        <w:rPr>
          <w:color w:val="000000" w:themeColor="text1"/>
          <w:sz w:val="24"/>
          <w:szCs w:val="24"/>
        </w:rPr>
        <w:t xml:space="preserve">entreprise </w:t>
      </w:r>
      <w:r w:rsidRPr="00514E99">
        <w:rPr>
          <w:color w:val="000000" w:themeColor="text1"/>
          <w:sz w:val="24"/>
          <w:szCs w:val="24"/>
        </w:rPr>
        <w:t>afin de</w:t>
      </w:r>
      <w:r w:rsidR="007E6CDB" w:rsidRPr="00514E99">
        <w:rPr>
          <w:color w:val="000000" w:themeColor="text1"/>
          <w:sz w:val="24"/>
          <w:szCs w:val="24"/>
        </w:rPr>
        <w:t xml:space="preserve"> préparer la cession de celle-ci tout en permettant à ses descendants </w:t>
      </w:r>
      <w:r w:rsidR="00A11D28">
        <w:rPr>
          <w:color w:val="000000" w:themeColor="text1"/>
          <w:sz w:val="24"/>
          <w:szCs w:val="24"/>
        </w:rPr>
        <w:t>d’y</w:t>
      </w:r>
      <w:r w:rsidR="007A3E60" w:rsidRPr="00514E99">
        <w:rPr>
          <w:color w:val="000000" w:themeColor="text1"/>
          <w:sz w:val="24"/>
          <w:szCs w:val="24"/>
        </w:rPr>
        <w:t xml:space="preserve"> </w:t>
      </w:r>
      <w:r w:rsidR="00B5534E" w:rsidRPr="00514E99">
        <w:rPr>
          <w:color w:val="000000" w:themeColor="text1"/>
          <w:sz w:val="24"/>
          <w:szCs w:val="24"/>
        </w:rPr>
        <w:t>participer</w:t>
      </w:r>
      <w:r w:rsidR="0080084B" w:rsidRPr="00514E99">
        <w:rPr>
          <w:color w:val="000000" w:themeColor="text1"/>
          <w:sz w:val="24"/>
          <w:szCs w:val="24"/>
        </w:rPr>
        <w:t>.</w:t>
      </w:r>
      <w:r w:rsidR="006B1EDC" w:rsidRPr="00514E99">
        <w:rPr>
          <w:color w:val="000000" w:themeColor="text1"/>
          <w:sz w:val="24"/>
          <w:szCs w:val="24"/>
        </w:rPr>
        <w:t xml:space="preserve"> </w:t>
      </w:r>
      <w:r w:rsidR="00DA2FAE" w:rsidRPr="00514E99">
        <w:rPr>
          <w:color w:val="000000" w:themeColor="text1"/>
          <w:sz w:val="24"/>
          <w:szCs w:val="24"/>
        </w:rPr>
        <w:t>Cette anticipation</w:t>
      </w:r>
      <w:r w:rsidR="006B1EDC" w:rsidRPr="00514E99">
        <w:rPr>
          <w:color w:val="000000" w:themeColor="text1"/>
          <w:sz w:val="24"/>
          <w:szCs w:val="24"/>
        </w:rPr>
        <w:t xml:space="preserve"> peut </w:t>
      </w:r>
      <w:r w:rsidR="00DA2FAE" w:rsidRPr="00514E99">
        <w:rPr>
          <w:color w:val="000000" w:themeColor="text1"/>
          <w:sz w:val="24"/>
          <w:szCs w:val="24"/>
        </w:rPr>
        <w:t>au contraire s’inscrire</w:t>
      </w:r>
      <w:r w:rsidR="006B1EDC" w:rsidRPr="00514E99">
        <w:rPr>
          <w:color w:val="000000" w:themeColor="text1"/>
          <w:sz w:val="24"/>
          <w:szCs w:val="24"/>
        </w:rPr>
        <w:t xml:space="preserve"> </w:t>
      </w:r>
      <w:r w:rsidR="00DA2FAE" w:rsidRPr="00514E99">
        <w:rPr>
          <w:color w:val="000000" w:themeColor="text1"/>
          <w:sz w:val="24"/>
          <w:szCs w:val="24"/>
        </w:rPr>
        <w:t xml:space="preserve">dans </w:t>
      </w:r>
      <w:r w:rsidR="00514E99" w:rsidRPr="00514E99">
        <w:rPr>
          <w:color w:val="000000" w:themeColor="text1"/>
          <w:sz w:val="24"/>
          <w:szCs w:val="24"/>
        </w:rPr>
        <w:t xml:space="preserve">le cadre d’une </w:t>
      </w:r>
      <w:r w:rsidR="00CD7181" w:rsidRPr="00514E99">
        <w:rPr>
          <w:color w:val="000000" w:themeColor="text1"/>
          <w:sz w:val="24"/>
          <w:szCs w:val="24"/>
        </w:rPr>
        <w:t xml:space="preserve">transmission familiale </w:t>
      </w:r>
      <w:r w:rsidR="00514E99" w:rsidRPr="00514E99">
        <w:rPr>
          <w:color w:val="000000" w:themeColor="text1"/>
          <w:sz w:val="24"/>
          <w:szCs w:val="24"/>
        </w:rPr>
        <w:t xml:space="preserve">de l’entreprise </w:t>
      </w:r>
      <w:r w:rsidR="00CD7181" w:rsidRPr="00514E99">
        <w:rPr>
          <w:color w:val="000000" w:themeColor="text1"/>
          <w:sz w:val="24"/>
          <w:szCs w:val="24"/>
        </w:rPr>
        <w:t>avec pour objectif</w:t>
      </w:r>
      <w:r w:rsidR="00514E99">
        <w:rPr>
          <w:color w:val="000000" w:themeColor="text1"/>
          <w:sz w:val="24"/>
          <w:szCs w:val="24"/>
        </w:rPr>
        <w:t>s</w:t>
      </w:r>
      <w:r w:rsidR="004B0248">
        <w:rPr>
          <w:color w:val="000000" w:themeColor="text1"/>
          <w:sz w:val="24"/>
          <w:szCs w:val="24"/>
        </w:rPr>
        <w:t> :</w:t>
      </w:r>
      <w:r w:rsidR="00CD7181" w:rsidRPr="00514E99">
        <w:rPr>
          <w:color w:val="000000" w:themeColor="text1"/>
          <w:sz w:val="24"/>
          <w:szCs w:val="24"/>
        </w:rPr>
        <w:t xml:space="preserve"> l</w:t>
      </w:r>
      <w:r w:rsidR="00DA2FAE" w:rsidRPr="00514E99">
        <w:rPr>
          <w:color w:val="000000" w:themeColor="text1"/>
          <w:sz w:val="24"/>
          <w:szCs w:val="24"/>
        </w:rPr>
        <w:t>’organisation de</w:t>
      </w:r>
      <w:r w:rsidR="007A3E60" w:rsidRPr="00514E99">
        <w:rPr>
          <w:color w:val="000000" w:themeColor="text1"/>
          <w:sz w:val="24"/>
          <w:szCs w:val="24"/>
        </w:rPr>
        <w:t xml:space="preserve"> la reprise de</w:t>
      </w:r>
      <w:r w:rsidR="00514E99" w:rsidRPr="00514E99">
        <w:rPr>
          <w:color w:val="000000" w:themeColor="text1"/>
          <w:sz w:val="24"/>
          <w:szCs w:val="24"/>
        </w:rPr>
        <w:t xml:space="preserve"> s</w:t>
      </w:r>
      <w:r w:rsidR="0080084B" w:rsidRPr="00514E99">
        <w:rPr>
          <w:color w:val="000000" w:themeColor="text1"/>
          <w:sz w:val="24"/>
          <w:szCs w:val="24"/>
        </w:rPr>
        <w:t xml:space="preserve">a direction </w:t>
      </w:r>
      <w:r w:rsidR="007A3E60" w:rsidRPr="00514E99">
        <w:rPr>
          <w:color w:val="000000" w:themeColor="text1"/>
          <w:sz w:val="24"/>
          <w:szCs w:val="24"/>
        </w:rPr>
        <w:t xml:space="preserve">par </w:t>
      </w:r>
      <w:r w:rsidR="00514E99" w:rsidRPr="00514E99">
        <w:rPr>
          <w:color w:val="000000" w:themeColor="text1"/>
          <w:sz w:val="24"/>
          <w:szCs w:val="24"/>
        </w:rPr>
        <w:t>les générations suivantes</w:t>
      </w:r>
      <w:r w:rsidR="00473058" w:rsidRPr="00514E99">
        <w:rPr>
          <w:color w:val="000000" w:themeColor="text1"/>
          <w:sz w:val="24"/>
          <w:szCs w:val="24"/>
        </w:rPr>
        <w:t xml:space="preserve"> </w:t>
      </w:r>
      <w:r w:rsidR="00514E99" w:rsidRPr="00514E99">
        <w:rPr>
          <w:color w:val="000000" w:themeColor="text1"/>
          <w:sz w:val="24"/>
          <w:szCs w:val="24"/>
        </w:rPr>
        <w:t>et le maintien de sa pérennité</w:t>
      </w:r>
      <w:r w:rsidR="00A11D28">
        <w:rPr>
          <w:color w:val="000000" w:themeColor="text1"/>
          <w:sz w:val="24"/>
          <w:szCs w:val="24"/>
        </w:rPr>
        <w:t xml:space="preserve"> à son décès</w:t>
      </w:r>
      <w:r w:rsidR="006C11CC" w:rsidRPr="00514E99">
        <w:rPr>
          <w:color w:val="000000" w:themeColor="text1"/>
          <w:sz w:val="24"/>
          <w:szCs w:val="24"/>
        </w:rPr>
        <w:t xml:space="preserve">. Dans </w:t>
      </w:r>
      <w:r w:rsidR="00514E99" w:rsidRPr="00514E99">
        <w:rPr>
          <w:color w:val="000000" w:themeColor="text1"/>
          <w:sz w:val="24"/>
          <w:szCs w:val="24"/>
        </w:rPr>
        <w:t xml:space="preserve">ce </w:t>
      </w:r>
      <w:r w:rsidR="00514E99">
        <w:rPr>
          <w:sz w:val="24"/>
          <w:szCs w:val="24"/>
        </w:rPr>
        <w:t>cas</w:t>
      </w:r>
      <w:r w:rsidR="006C11CC">
        <w:rPr>
          <w:sz w:val="24"/>
          <w:szCs w:val="24"/>
        </w:rPr>
        <w:t xml:space="preserve">, </w:t>
      </w:r>
      <w:r w:rsidR="00552A66">
        <w:rPr>
          <w:sz w:val="24"/>
          <w:szCs w:val="24"/>
        </w:rPr>
        <w:t>pourra</w:t>
      </w:r>
      <w:r w:rsidR="0080084B">
        <w:rPr>
          <w:sz w:val="24"/>
          <w:szCs w:val="24"/>
        </w:rPr>
        <w:t xml:space="preserve"> être envisagée</w:t>
      </w:r>
      <w:r w:rsidR="00A11D28">
        <w:rPr>
          <w:sz w:val="24"/>
          <w:szCs w:val="24"/>
        </w:rPr>
        <w:t>,</w:t>
      </w:r>
      <w:r w:rsidR="006C11CC">
        <w:rPr>
          <w:sz w:val="24"/>
          <w:szCs w:val="24"/>
        </w:rPr>
        <w:t xml:space="preserve"> </w:t>
      </w:r>
      <w:r w:rsidR="004B0248">
        <w:rPr>
          <w:sz w:val="24"/>
          <w:szCs w:val="24"/>
        </w:rPr>
        <w:t xml:space="preserve">sous conditions, </w:t>
      </w:r>
      <w:r w:rsidR="006C11CC">
        <w:rPr>
          <w:sz w:val="24"/>
          <w:szCs w:val="24"/>
        </w:rPr>
        <w:t xml:space="preserve">l’application </w:t>
      </w:r>
      <w:r w:rsidR="00AF1378">
        <w:rPr>
          <w:sz w:val="24"/>
          <w:szCs w:val="24"/>
        </w:rPr>
        <w:t xml:space="preserve">du régime « Dutreil » avec </w:t>
      </w:r>
      <w:r w:rsidR="00F8799A" w:rsidRPr="00F8799A">
        <w:rPr>
          <w:sz w:val="24"/>
          <w:szCs w:val="24"/>
        </w:rPr>
        <w:t xml:space="preserve">la signature d’un engagement collectif de </w:t>
      </w:r>
      <w:r w:rsidR="009A15DA">
        <w:rPr>
          <w:sz w:val="24"/>
          <w:szCs w:val="24"/>
        </w:rPr>
        <w:t xml:space="preserve">conservation </w:t>
      </w:r>
      <w:r w:rsidR="009F65BF">
        <w:rPr>
          <w:sz w:val="24"/>
          <w:szCs w:val="24"/>
        </w:rPr>
        <w:t xml:space="preserve">de titres </w:t>
      </w:r>
      <w:r w:rsidR="009A15DA">
        <w:rPr>
          <w:sz w:val="24"/>
          <w:szCs w:val="24"/>
        </w:rPr>
        <w:t>de 2 ans minimum</w:t>
      </w:r>
      <w:r w:rsidR="00B965CF">
        <w:rPr>
          <w:sz w:val="24"/>
          <w:szCs w:val="24"/>
        </w:rPr>
        <w:t xml:space="preserve"> (le cas échéant « réputé acquis »)</w:t>
      </w:r>
      <w:r w:rsidR="009A15DA">
        <w:rPr>
          <w:sz w:val="24"/>
          <w:szCs w:val="24"/>
        </w:rPr>
        <w:t xml:space="preserve"> </w:t>
      </w:r>
      <w:r w:rsidR="004B0248">
        <w:rPr>
          <w:sz w:val="24"/>
          <w:szCs w:val="24"/>
        </w:rPr>
        <w:t>suivi d’un engagement individuel</w:t>
      </w:r>
      <w:r w:rsidR="004B6DAE">
        <w:rPr>
          <w:sz w:val="24"/>
          <w:szCs w:val="24"/>
        </w:rPr>
        <w:t xml:space="preserve"> de conservation</w:t>
      </w:r>
      <w:r w:rsidR="0080084B">
        <w:rPr>
          <w:sz w:val="24"/>
          <w:szCs w:val="24"/>
        </w:rPr>
        <w:t xml:space="preserve"> de 4 ans</w:t>
      </w:r>
      <w:r w:rsidR="004B6DAE">
        <w:rPr>
          <w:sz w:val="24"/>
          <w:szCs w:val="24"/>
        </w:rPr>
        <w:t xml:space="preserve"> </w:t>
      </w:r>
      <w:r w:rsidR="0080084B">
        <w:rPr>
          <w:sz w:val="24"/>
          <w:szCs w:val="24"/>
        </w:rPr>
        <w:t xml:space="preserve">pris par </w:t>
      </w:r>
      <w:r w:rsidR="00A11D28">
        <w:rPr>
          <w:sz w:val="24"/>
          <w:szCs w:val="24"/>
        </w:rPr>
        <w:t xml:space="preserve">les </w:t>
      </w:r>
      <w:r w:rsidR="0080084B">
        <w:rPr>
          <w:sz w:val="24"/>
          <w:szCs w:val="24"/>
        </w:rPr>
        <w:t>donataire</w:t>
      </w:r>
      <w:r w:rsidR="00A11D28">
        <w:rPr>
          <w:sz w:val="24"/>
          <w:szCs w:val="24"/>
        </w:rPr>
        <w:t>s</w:t>
      </w:r>
      <w:r w:rsidR="0080084B">
        <w:rPr>
          <w:sz w:val="24"/>
          <w:szCs w:val="24"/>
        </w:rPr>
        <w:t xml:space="preserve"> </w:t>
      </w:r>
      <w:r w:rsidR="004B6DAE">
        <w:rPr>
          <w:sz w:val="24"/>
          <w:szCs w:val="24"/>
        </w:rPr>
        <w:t xml:space="preserve">à compter de la </w:t>
      </w:r>
      <w:r w:rsidR="00951CA5">
        <w:rPr>
          <w:sz w:val="24"/>
          <w:szCs w:val="24"/>
        </w:rPr>
        <w:t>transmission</w:t>
      </w:r>
      <w:r w:rsidR="00870F93">
        <w:rPr>
          <w:sz w:val="24"/>
          <w:szCs w:val="24"/>
        </w:rPr>
        <w:t xml:space="preserve">. </w:t>
      </w:r>
      <w:r w:rsidR="001413C4">
        <w:rPr>
          <w:sz w:val="24"/>
          <w:szCs w:val="24"/>
        </w:rPr>
        <w:t>En contrepartie</w:t>
      </w:r>
      <w:r w:rsidR="00870F93">
        <w:rPr>
          <w:sz w:val="24"/>
          <w:szCs w:val="24"/>
        </w:rPr>
        <w:t xml:space="preserve">, </w:t>
      </w:r>
      <w:r w:rsidR="009A15DA">
        <w:rPr>
          <w:sz w:val="24"/>
          <w:szCs w:val="24"/>
        </w:rPr>
        <w:t>les</w:t>
      </w:r>
      <w:r w:rsidR="00B965CF">
        <w:rPr>
          <w:sz w:val="24"/>
          <w:szCs w:val="24"/>
        </w:rPr>
        <w:t xml:space="preserve"> droits de mutation à titre</w:t>
      </w:r>
      <w:r w:rsidR="00870F93">
        <w:rPr>
          <w:sz w:val="24"/>
          <w:szCs w:val="24"/>
        </w:rPr>
        <w:t xml:space="preserve"> gratuit </w:t>
      </w:r>
      <w:r w:rsidR="009A15DA">
        <w:rPr>
          <w:sz w:val="24"/>
          <w:szCs w:val="24"/>
        </w:rPr>
        <w:t>seront</w:t>
      </w:r>
      <w:r w:rsidR="00870F93">
        <w:rPr>
          <w:sz w:val="24"/>
          <w:szCs w:val="24"/>
        </w:rPr>
        <w:t xml:space="preserve"> </w:t>
      </w:r>
      <w:r w:rsidR="009A15DA">
        <w:rPr>
          <w:sz w:val="24"/>
          <w:szCs w:val="24"/>
        </w:rPr>
        <w:t>calculés</w:t>
      </w:r>
      <w:r w:rsidR="00870F93">
        <w:rPr>
          <w:sz w:val="24"/>
          <w:szCs w:val="24"/>
        </w:rPr>
        <w:t xml:space="preserve"> </w:t>
      </w:r>
      <w:r w:rsidR="009A15DA">
        <w:rPr>
          <w:sz w:val="24"/>
          <w:szCs w:val="24"/>
        </w:rPr>
        <w:t>sur une valeur de titre</w:t>
      </w:r>
      <w:r w:rsidR="00870F93">
        <w:rPr>
          <w:sz w:val="24"/>
          <w:szCs w:val="24"/>
        </w:rPr>
        <w:t xml:space="preserve"> </w:t>
      </w:r>
      <w:r w:rsidR="00951CA5">
        <w:rPr>
          <w:sz w:val="24"/>
          <w:szCs w:val="24"/>
        </w:rPr>
        <w:t>diminu</w:t>
      </w:r>
      <w:r w:rsidR="002D5DEF">
        <w:rPr>
          <w:sz w:val="24"/>
          <w:szCs w:val="24"/>
        </w:rPr>
        <w:t>é</w:t>
      </w:r>
      <w:r w:rsidR="00951CA5">
        <w:rPr>
          <w:sz w:val="24"/>
          <w:szCs w:val="24"/>
        </w:rPr>
        <w:t>e</w:t>
      </w:r>
      <w:r w:rsidR="002D5DEF">
        <w:rPr>
          <w:sz w:val="24"/>
          <w:szCs w:val="24"/>
        </w:rPr>
        <w:t xml:space="preserve"> de 75</w:t>
      </w:r>
      <w:r w:rsidR="00517263">
        <w:rPr>
          <w:sz w:val="24"/>
          <w:szCs w:val="24"/>
        </w:rPr>
        <w:t xml:space="preserve"> </w:t>
      </w:r>
      <w:r w:rsidR="002D5DEF">
        <w:rPr>
          <w:sz w:val="24"/>
          <w:szCs w:val="24"/>
        </w:rPr>
        <w:t>%</w:t>
      </w:r>
      <w:r w:rsidR="00870F93">
        <w:rPr>
          <w:sz w:val="24"/>
          <w:szCs w:val="24"/>
        </w:rPr>
        <w:t xml:space="preserve"> </w:t>
      </w:r>
      <w:r w:rsidR="004B6DAE">
        <w:rPr>
          <w:sz w:val="24"/>
          <w:szCs w:val="24"/>
        </w:rPr>
        <w:t xml:space="preserve">et </w:t>
      </w:r>
      <w:r w:rsidR="009A15DA">
        <w:rPr>
          <w:sz w:val="24"/>
          <w:szCs w:val="24"/>
        </w:rPr>
        <w:t>réduit</w:t>
      </w:r>
      <w:r w:rsidR="00F44D5D">
        <w:rPr>
          <w:sz w:val="24"/>
          <w:szCs w:val="24"/>
        </w:rPr>
        <w:t>s</w:t>
      </w:r>
      <w:r w:rsidR="004B6DAE">
        <w:rPr>
          <w:sz w:val="24"/>
          <w:szCs w:val="24"/>
        </w:rPr>
        <w:t xml:space="preserve"> </w:t>
      </w:r>
      <w:r w:rsidR="009A15DA">
        <w:rPr>
          <w:sz w:val="24"/>
          <w:szCs w:val="24"/>
        </w:rPr>
        <w:t>de</w:t>
      </w:r>
      <w:r w:rsidR="004B6DAE">
        <w:rPr>
          <w:sz w:val="24"/>
          <w:szCs w:val="24"/>
        </w:rPr>
        <w:t xml:space="preserve"> 50</w:t>
      </w:r>
      <w:r w:rsidR="00517263">
        <w:rPr>
          <w:sz w:val="24"/>
          <w:szCs w:val="24"/>
        </w:rPr>
        <w:t xml:space="preserve"> </w:t>
      </w:r>
      <w:r w:rsidR="004B6DAE">
        <w:rPr>
          <w:sz w:val="24"/>
          <w:szCs w:val="24"/>
        </w:rPr>
        <w:t>%</w:t>
      </w:r>
      <w:r w:rsidR="00517263">
        <w:rPr>
          <w:sz w:val="24"/>
          <w:szCs w:val="24"/>
        </w:rPr>
        <w:t xml:space="preserve"> si le donateur est âgé de</w:t>
      </w:r>
      <w:r w:rsidR="009A15DA">
        <w:rPr>
          <w:sz w:val="24"/>
          <w:szCs w:val="24"/>
        </w:rPr>
        <w:t xml:space="preserve"> moins de 70 ans</w:t>
      </w:r>
      <w:r w:rsidR="007A3E60">
        <w:rPr>
          <w:rStyle w:val="Appelnotedebasdep"/>
          <w:sz w:val="24"/>
          <w:szCs w:val="24"/>
        </w:rPr>
        <w:footnoteReference w:id="15"/>
      </w:r>
      <w:r w:rsidR="00067CF4">
        <w:rPr>
          <w:sz w:val="24"/>
          <w:szCs w:val="24"/>
        </w:rPr>
        <w:t xml:space="preserve">. </w:t>
      </w:r>
      <w:r w:rsidR="009A15DA">
        <w:rPr>
          <w:sz w:val="24"/>
          <w:szCs w:val="24"/>
        </w:rPr>
        <w:t>En cas de</w:t>
      </w:r>
      <w:r w:rsidR="00F44D5D">
        <w:rPr>
          <w:sz w:val="24"/>
          <w:szCs w:val="24"/>
        </w:rPr>
        <w:t xml:space="preserve"> donation-</w:t>
      </w:r>
      <w:r w:rsidR="004B6DAE">
        <w:rPr>
          <w:sz w:val="24"/>
          <w:szCs w:val="24"/>
        </w:rPr>
        <w:t xml:space="preserve">partage </w:t>
      </w:r>
      <w:r w:rsidR="009A15DA">
        <w:rPr>
          <w:sz w:val="24"/>
          <w:szCs w:val="24"/>
        </w:rPr>
        <w:t>transgénérationnelle</w:t>
      </w:r>
      <w:r w:rsidR="00067CF4">
        <w:rPr>
          <w:sz w:val="24"/>
          <w:szCs w:val="24"/>
        </w:rPr>
        <w:t xml:space="preserve">, chaque donataire copartagé </w:t>
      </w:r>
      <w:r w:rsidR="00F235A2">
        <w:rPr>
          <w:sz w:val="24"/>
          <w:szCs w:val="24"/>
        </w:rPr>
        <w:t xml:space="preserve"> </w:t>
      </w:r>
      <w:r w:rsidR="00067CF4">
        <w:rPr>
          <w:sz w:val="24"/>
          <w:szCs w:val="24"/>
        </w:rPr>
        <w:t>bénéficie</w:t>
      </w:r>
      <w:r w:rsidR="009A15DA">
        <w:rPr>
          <w:sz w:val="24"/>
          <w:szCs w:val="24"/>
        </w:rPr>
        <w:t>ra</w:t>
      </w:r>
      <w:r w:rsidR="000B7BB4">
        <w:rPr>
          <w:sz w:val="24"/>
          <w:szCs w:val="24"/>
        </w:rPr>
        <w:t xml:space="preserve"> de cette </w:t>
      </w:r>
      <w:r w:rsidR="00067CF4">
        <w:rPr>
          <w:sz w:val="24"/>
          <w:szCs w:val="24"/>
        </w:rPr>
        <w:t xml:space="preserve">exonération </w:t>
      </w:r>
      <w:r w:rsidR="000B7BB4">
        <w:rPr>
          <w:sz w:val="24"/>
          <w:szCs w:val="24"/>
        </w:rPr>
        <w:t>partielle</w:t>
      </w:r>
      <w:r w:rsidR="009A15DA">
        <w:rPr>
          <w:sz w:val="24"/>
          <w:szCs w:val="24"/>
        </w:rPr>
        <w:t xml:space="preserve"> </w:t>
      </w:r>
      <w:r w:rsidR="00514E99">
        <w:rPr>
          <w:sz w:val="24"/>
          <w:szCs w:val="24"/>
        </w:rPr>
        <w:t xml:space="preserve">à concurrence </w:t>
      </w:r>
      <w:r w:rsidR="00A11D28">
        <w:rPr>
          <w:sz w:val="24"/>
          <w:szCs w:val="24"/>
        </w:rPr>
        <w:t>d</w:t>
      </w:r>
      <w:r w:rsidR="00067CF4">
        <w:rPr>
          <w:sz w:val="24"/>
          <w:szCs w:val="24"/>
        </w:rPr>
        <w:t>e ses droits dans la masse</w:t>
      </w:r>
      <w:r w:rsidR="00A20E05">
        <w:rPr>
          <w:sz w:val="24"/>
          <w:szCs w:val="24"/>
        </w:rPr>
        <w:t xml:space="preserve"> des biens donnés et partagés. </w:t>
      </w:r>
      <w:r w:rsidR="000D168C">
        <w:rPr>
          <w:sz w:val="24"/>
          <w:szCs w:val="24"/>
        </w:rPr>
        <w:t>Dans ce contexte, il est utile de préciser</w:t>
      </w:r>
      <w:r w:rsidR="00237679" w:rsidRPr="00A20E05">
        <w:rPr>
          <w:sz w:val="24"/>
          <w:szCs w:val="24"/>
        </w:rPr>
        <w:t xml:space="preserve"> que </w:t>
      </w:r>
      <w:r w:rsidR="00951CA5" w:rsidRPr="00A20E05">
        <w:rPr>
          <w:sz w:val="24"/>
          <w:szCs w:val="24"/>
        </w:rPr>
        <w:t xml:space="preserve">la </w:t>
      </w:r>
      <w:r w:rsidR="00951CA5">
        <w:rPr>
          <w:sz w:val="24"/>
          <w:szCs w:val="24"/>
        </w:rPr>
        <w:t xml:space="preserve">perspective d’un actionnariat </w:t>
      </w:r>
      <w:r w:rsidR="00951CA5" w:rsidRPr="00943E78">
        <w:rPr>
          <w:sz w:val="24"/>
          <w:szCs w:val="24"/>
        </w:rPr>
        <w:t>éclaté</w:t>
      </w:r>
      <w:r w:rsidR="000D0C5B">
        <w:rPr>
          <w:sz w:val="24"/>
          <w:szCs w:val="24"/>
        </w:rPr>
        <w:t xml:space="preserve"> </w:t>
      </w:r>
      <w:r w:rsidR="000D168C">
        <w:rPr>
          <w:sz w:val="24"/>
          <w:szCs w:val="24"/>
        </w:rPr>
        <w:t>devra amener le</w:t>
      </w:r>
      <w:r w:rsidR="00951CA5">
        <w:rPr>
          <w:sz w:val="24"/>
          <w:szCs w:val="24"/>
        </w:rPr>
        <w:t xml:space="preserve"> dirigeant</w:t>
      </w:r>
      <w:r w:rsidR="000D168C">
        <w:rPr>
          <w:sz w:val="24"/>
          <w:szCs w:val="24"/>
        </w:rPr>
        <w:t xml:space="preserve"> à réfléchir</w:t>
      </w:r>
      <w:r w:rsidR="00A46B7D">
        <w:rPr>
          <w:sz w:val="24"/>
          <w:szCs w:val="24"/>
        </w:rPr>
        <w:t xml:space="preserve"> </w:t>
      </w:r>
      <w:r w:rsidR="000D168C">
        <w:rPr>
          <w:sz w:val="24"/>
          <w:szCs w:val="24"/>
        </w:rPr>
        <w:t xml:space="preserve">également </w:t>
      </w:r>
      <w:r w:rsidR="00A46B7D">
        <w:rPr>
          <w:sz w:val="24"/>
          <w:szCs w:val="24"/>
        </w:rPr>
        <w:t>en amont</w:t>
      </w:r>
      <w:r w:rsidR="00951CA5" w:rsidRPr="00943E78">
        <w:rPr>
          <w:sz w:val="24"/>
          <w:szCs w:val="24"/>
        </w:rPr>
        <w:t xml:space="preserve"> </w:t>
      </w:r>
      <w:r w:rsidR="000D168C">
        <w:rPr>
          <w:sz w:val="24"/>
          <w:szCs w:val="24"/>
        </w:rPr>
        <w:t xml:space="preserve">à </w:t>
      </w:r>
      <w:r w:rsidR="00E600CE">
        <w:rPr>
          <w:sz w:val="24"/>
          <w:szCs w:val="24"/>
        </w:rPr>
        <w:t>la structuration juridique de la détention du</w:t>
      </w:r>
      <w:r w:rsidR="00951CA5" w:rsidRPr="00943E78">
        <w:rPr>
          <w:sz w:val="24"/>
          <w:szCs w:val="24"/>
        </w:rPr>
        <w:t xml:space="preserve"> pouvoir </w:t>
      </w:r>
      <w:r w:rsidR="000D168C">
        <w:rPr>
          <w:sz w:val="24"/>
          <w:szCs w:val="24"/>
        </w:rPr>
        <w:t>(</w:t>
      </w:r>
      <w:r w:rsidR="00951CA5" w:rsidRPr="00943E78">
        <w:rPr>
          <w:sz w:val="24"/>
          <w:szCs w:val="24"/>
        </w:rPr>
        <w:t>en direct</w:t>
      </w:r>
      <w:r w:rsidR="00951CA5">
        <w:rPr>
          <w:sz w:val="24"/>
          <w:szCs w:val="24"/>
        </w:rPr>
        <w:t xml:space="preserve"> ou via la constitution de structures intermédiaires</w:t>
      </w:r>
      <w:r w:rsidR="000D168C">
        <w:rPr>
          <w:sz w:val="24"/>
          <w:szCs w:val="24"/>
        </w:rPr>
        <w:t>) ainsi qu’aux</w:t>
      </w:r>
      <w:r w:rsidR="00951CA5" w:rsidRPr="002B38E7">
        <w:rPr>
          <w:sz w:val="24"/>
          <w:szCs w:val="24"/>
        </w:rPr>
        <w:t xml:space="preserve"> modalités de gouvernance future de l’entreprise</w:t>
      </w:r>
      <w:r w:rsidR="00951CA5">
        <w:rPr>
          <w:sz w:val="24"/>
          <w:szCs w:val="24"/>
        </w:rPr>
        <w:t>.</w:t>
      </w:r>
    </w:p>
    <w:p w:rsidR="00951CA5" w:rsidRPr="00B5534E" w:rsidRDefault="00951CA5" w:rsidP="00BC6433">
      <w:pPr>
        <w:jc w:val="both"/>
        <w:rPr>
          <w:color w:val="FF0000"/>
          <w:sz w:val="24"/>
          <w:szCs w:val="24"/>
        </w:rPr>
      </w:pPr>
    </w:p>
    <w:sectPr w:rsidR="00951CA5" w:rsidRPr="00B553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29" w:rsidRDefault="00385B29" w:rsidP="00F67F21">
      <w:pPr>
        <w:spacing w:after="0" w:line="240" w:lineRule="auto"/>
      </w:pPr>
      <w:r>
        <w:separator/>
      </w:r>
    </w:p>
  </w:endnote>
  <w:endnote w:type="continuationSeparator" w:id="0">
    <w:p w:rsidR="00385B29" w:rsidRDefault="00385B29" w:rsidP="00F6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86865"/>
      <w:docPartObj>
        <w:docPartGallery w:val="Page Numbers (Bottom of Page)"/>
        <w:docPartUnique/>
      </w:docPartObj>
    </w:sdtPr>
    <w:sdtEndPr/>
    <w:sdtContent>
      <w:p w:rsidR="00A52BA6" w:rsidRDefault="00A52B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F2">
          <w:rPr>
            <w:noProof/>
          </w:rPr>
          <w:t>4</w:t>
        </w:r>
        <w:r>
          <w:fldChar w:fldCharType="end"/>
        </w:r>
      </w:p>
    </w:sdtContent>
  </w:sdt>
  <w:p w:rsidR="00A52BA6" w:rsidRDefault="00A52B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29" w:rsidRDefault="00385B29" w:rsidP="00F67F21">
      <w:pPr>
        <w:spacing w:after="0" w:line="240" w:lineRule="auto"/>
      </w:pPr>
      <w:r>
        <w:separator/>
      </w:r>
    </w:p>
  </w:footnote>
  <w:footnote w:type="continuationSeparator" w:id="0">
    <w:p w:rsidR="00385B29" w:rsidRDefault="00385B29" w:rsidP="00F67F21">
      <w:pPr>
        <w:spacing w:after="0" w:line="240" w:lineRule="auto"/>
      </w:pPr>
      <w:r>
        <w:continuationSeparator/>
      </w:r>
    </w:p>
  </w:footnote>
  <w:footnote w:id="1">
    <w:p w:rsidR="00943E78" w:rsidRPr="00AF700B" w:rsidRDefault="00943E78" w:rsidP="00943E78">
      <w:pPr>
        <w:pStyle w:val="Notedebasdepage"/>
        <w:rPr>
          <w:sz w:val="18"/>
          <w:szCs w:val="18"/>
        </w:rPr>
      </w:pPr>
      <w:r w:rsidRPr="00AF700B">
        <w:rPr>
          <w:rStyle w:val="Appelnotedebasdep"/>
          <w:sz w:val="18"/>
          <w:szCs w:val="18"/>
        </w:rPr>
        <w:footnoteRef/>
      </w:r>
      <w:r w:rsidR="00EF0208">
        <w:rPr>
          <w:sz w:val="18"/>
          <w:szCs w:val="18"/>
        </w:rPr>
        <w:t xml:space="preserve"> Article</w:t>
      </w:r>
      <w:r w:rsidR="001E507B">
        <w:rPr>
          <w:sz w:val="18"/>
          <w:szCs w:val="18"/>
        </w:rPr>
        <w:t xml:space="preserve"> 1075-1 </w:t>
      </w:r>
      <w:r w:rsidR="00237679">
        <w:rPr>
          <w:sz w:val="18"/>
          <w:szCs w:val="18"/>
        </w:rPr>
        <w:t xml:space="preserve">du </w:t>
      </w:r>
      <w:r w:rsidRPr="00AF700B">
        <w:rPr>
          <w:sz w:val="18"/>
          <w:szCs w:val="18"/>
        </w:rPr>
        <w:t>code civil</w:t>
      </w:r>
    </w:p>
  </w:footnote>
  <w:footnote w:id="2">
    <w:p w:rsidR="00D84CD3" w:rsidRPr="00AF700B" w:rsidRDefault="00D84CD3" w:rsidP="00D84CD3">
      <w:pPr>
        <w:pStyle w:val="Notedebasdepage"/>
        <w:rPr>
          <w:sz w:val="18"/>
          <w:szCs w:val="18"/>
        </w:rPr>
      </w:pPr>
      <w:r w:rsidRPr="00AF700B">
        <w:rPr>
          <w:rStyle w:val="Appelnotedebasdep"/>
          <w:sz w:val="18"/>
          <w:szCs w:val="18"/>
        </w:rPr>
        <w:footnoteRef/>
      </w:r>
      <w:r w:rsidRPr="00AF700B">
        <w:rPr>
          <w:sz w:val="18"/>
          <w:szCs w:val="18"/>
        </w:rPr>
        <w:t xml:space="preserve"> Article 1078-4 </w:t>
      </w:r>
      <w:r w:rsidR="00237679">
        <w:rPr>
          <w:sz w:val="18"/>
          <w:szCs w:val="18"/>
        </w:rPr>
        <w:t xml:space="preserve">du </w:t>
      </w:r>
      <w:r w:rsidRPr="00AF700B">
        <w:rPr>
          <w:sz w:val="18"/>
          <w:szCs w:val="18"/>
        </w:rPr>
        <w:t>code civil</w:t>
      </w:r>
    </w:p>
  </w:footnote>
  <w:footnote w:id="3">
    <w:p w:rsidR="00E60A6B" w:rsidRPr="00AC605E" w:rsidRDefault="00E60A6B" w:rsidP="00E60A6B">
      <w:pPr>
        <w:pStyle w:val="Notedebasdepage"/>
        <w:rPr>
          <w:sz w:val="18"/>
          <w:szCs w:val="18"/>
        </w:rPr>
      </w:pPr>
      <w:r w:rsidRPr="00AC605E">
        <w:rPr>
          <w:rStyle w:val="Appelnotedebasdep"/>
          <w:sz w:val="18"/>
          <w:szCs w:val="18"/>
        </w:rPr>
        <w:footnoteRef/>
      </w:r>
      <w:r w:rsidRPr="00AC605E">
        <w:rPr>
          <w:sz w:val="18"/>
          <w:szCs w:val="18"/>
        </w:rPr>
        <w:t xml:space="preserve"> Article 1078-8, al 1er du code civil </w:t>
      </w:r>
    </w:p>
  </w:footnote>
  <w:footnote w:id="4">
    <w:p w:rsidR="00B5366D" w:rsidRPr="00AF700B" w:rsidRDefault="00B5366D" w:rsidP="00B5366D">
      <w:pPr>
        <w:pStyle w:val="Notedebasdepage"/>
        <w:rPr>
          <w:sz w:val="18"/>
          <w:szCs w:val="18"/>
        </w:rPr>
      </w:pPr>
      <w:r w:rsidRPr="00AF700B">
        <w:rPr>
          <w:rStyle w:val="Appelnotedebasdep"/>
          <w:sz w:val="18"/>
          <w:szCs w:val="18"/>
        </w:rPr>
        <w:footnoteRef/>
      </w:r>
      <w:r w:rsidRPr="00AF700B">
        <w:rPr>
          <w:sz w:val="18"/>
          <w:szCs w:val="18"/>
        </w:rPr>
        <w:t xml:space="preserve"> Article 1078 </w:t>
      </w:r>
      <w:r w:rsidR="00237679">
        <w:rPr>
          <w:sz w:val="18"/>
          <w:szCs w:val="18"/>
        </w:rPr>
        <w:t xml:space="preserve">du </w:t>
      </w:r>
      <w:r w:rsidRPr="00AF700B">
        <w:rPr>
          <w:sz w:val="18"/>
          <w:szCs w:val="18"/>
        </w:rPr>
        <w:t>code civil</w:t>
      </w:r>
    </w:p>
  </w:footnote>
  <w:footnote w:id="5">
    <w:p w:rsidR="00AC605E" w:rsidRPr="00393297" w:rsidRDefault="00AC605E" w:rsidP="00AC605E">
      <w:pPr>
        <w:pStyle w:val="Notedebasdepage"/>
      </w:pPr>
      <w:r w:rsidRPr="00393297">
        <w:rPr>
          <w:rStyle w:val="Appelnotedebasdep"/>
          <w:color w:val="000000" w:themeColor="text1"/>
          <w:sz w:val="18"/>
          <w:szCs w:val="18"/>
        </w:rPr>
        <w:footnoteRef/>
      </w:r>
      <w:r w:rsidRPr="00393297">
        <w:rPr>
          <w:color w:val="000000" w:themeColor="text1"/>
          <w:sz w:val="18"/>
          <w:szCs w:val="18"/>
        </w:rPr>
        <w:t xml:space="preserve"> Article</w:t>
      </w:r>
      <w:r w:rsidR="00EF0208">
        <w:rPr>
          <w:color w:val="000000" w:themeColor="text1"/>
          <w:sz w:val="18"/>
          <w:szCs w:val="18"/>
        </w:rPr>
        <w:t>s</w:t>
      </w:r>
      <w:r w:rsidRPr="00393297">
        <w:rPr>
          <w:color w:val="000000" w:themeColor="text1"/>
          <w:sz w:val="18"/>
          <w:szCs w:val="18"/>
        </w:rPr>
        <w:t xml:space="preserve"> 1077-1 et 1077-2 du code civil  </w:t>
      </w:r>
    </w:p>
  </w:footnote>
  <w:footnote w:id="6">
    <w:p w:rsidR="003110EC" w:rsidRPr="001E507B" w:rsidRDefault="003110EC" w:rsidP="003110EC">
      <w:pPr>
        <w:pStyle w:val="Notedebasdepage"/>
        <w:rPr>
          <w:b/>
        </w:rPr>
      </w:pPr>
      <w:r w:rsidRPr="00393297">
        <w:rPr>
          <w:rStyle w:val="Appelnotedebasdep"/>
          <w:sz w:val="18"/>
          <w:szCs w:val="18"/>
        </w:rPr>
        <w:footnoteRef/>
      </w:r>
      <w:r w:rsidRPr="00393297">
        <w:rPr>
          <w:rStyle w:val="Appelnotedebasdep"/>
          <w:sz w:val="18"/>
          <w:szCs w:val="18"/>
        </w:rPr>
        <w:t xml:space="preserve"> </w:t>
      </w:r>
      <w:r w:rsidRPr="00393297">
        <w:rPr>
          <w:sz w:val="18"/>
          <w:szCs w:val="18"/>
        </w:rPr>
        <w:t>Article 1078-9 du code civil</w:t>
      </w:r>
    </w:p>
  </w:footnote>
  <w:footnote w:id="7">
    <w:p w:rsidR="004B6DAE" w:rsidRPr="00AF54E1" w:rsidRDefault="004B6DAE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 w:rsidR="00393297" w:rsidRPr="00AF54E1">
        <w:rPr>
          <w:sz w:val="18"/>
          <w:szCs w:val="18"/>
        </w:rPr>
        <w:t xml:space="preserve">Article 784B </w:t>
      </w:r>
      <w:r w:rsidR="00393297">
        <w:rPr>
          <w:sz w:val="18"/>
          <w:szCs w:val="18"/>
        </w:rPr>
        <w:t xml:space="preserve">du </w:t>
      </w:r>
      <w:r w:rsidR="00393297" w:rsidRPr="00AF54E1">
        <w:rPr>
          <w:sz w:val="18"/>
          <w:szCs w:val="18"/>
        </w:rPr>
        <w:t>CGI</w:t>
      </w:r>
    </w:p>
  </w:footnote>
  <w:footnote w:id="8">
    <w:p w:rsidR="0068296C" w:rsidRPr="00AF54E1" w:rsidRDefault="0068296C">
      <w:pPr>
        <w:pStyle w:val="Notedebasdepage"/>
        <w:rPr>
          <w:sz w:val="18"/>
          <w:szCs w:val="18"/>
        </w:rPr>
      </w:pPr>
      <w:r w:rsidRPr="00AF54E1">
        <w:rPr>
          <w:rStyle w:val="Appelnotedebasdep"/>
          <w:sz w:val="18"/>
          <w:szCs w:val="18"/>
        </w:rPr>
        <w:footnoteRef/>
      </w:r>
      <w:r w:rsidRPr="00AF54E1">
        <w:rPr>
          <w:sz w:val="18"/>
          <w:szCs w:val="18"/>
        </w:rPr>
        <w:t xml:space="preserve"> </w:t>
      </w:r>
      <w:r w:rsidR="00393297">
        <w:rPr>
          <w:sz w:val="18"/>
          <w:szCs w:val="18"/>
        </w:rPr>
        <w:t>S</w:t>
      </w:r>
      <w:r w:rsidR="00393297" w:rsidRPr="00AF54E1">
        <w:rPr>
          <w:sz w:val="18"/>
          <w:szCs w:val="18"/>
        </w:rPr>
        <w:t xml:space="preserve">ans tenir compte de l’abattement de 100 000 euros de l’enfant allotissant qui renonce au profit de ses propres </w:t>
      </w:r>
      <w:r w:rsidR="00393297">
        <w:rPr>
          <w:sz w:val="18"/>
          <w:szCs w:val="18"/>
        </w:rPr>
        <w:t xml:space="preserve">enfants </w:t>
      </w:r>
    </w:p>
  </w:footnote>
  <w:footnote w:id="9">
    <w:p w:rsidR="00D15B6B" w:rsidRPr="00AF54E1" w:rsidRDefault="00D15B6B" w:rsidP="00EF0208">
      <w:pPr>
        <w:pStyle w:val="Notedebasdepage"/>
        <w:jc w:val="both"/>
        <w:rPr>
          <w:sz w:val="18"/>
          <w:szCs w:val="18"/>
        </w:rPr>
      </w:pPr>
      <w:r w:rsidRPr="00AF54E1">
        <w:rPr>
          <w:rStyle w:val="Appelnotedebasdep"/>
          <w:sz w:val="18"/>
          <w:szCs w:val="18"/>
        </w:rPr>
        <w:footnoteRef/>
      </w:r>
      <w:r w:rsidRPr="00AF54E1">
        <w:rPr>
          <w:sz w:val="18"/>
          <w:szCs w:val="18"/>
        </w:rPr>
        <w:t xml:space="preserve"> </w:t>
      </w:r>
      <w:r w:rsidR="00CA3FF8">
        <w:rPr>
          <w:sz w:val="18"/>
          <w:szCs w:val="18"/>
        </w:rPr>
        <w:t xml:space="preserve"> </w:t>
      </w:r>
      <w:r w:rsidRPr="00AF54E1">
        <w:rPr>
          <w:sz w:val="18"/>
          <w:szCs w:val="18"/>
        </w:rPr>
        <w:t xml:space="preserve">Détermination </w:t>
      </w:r>
      <w:r w:rsidR="00AF54E1" w:rsidRPr="00AF54E1">
        <w:rPr>
          <w:sz w:val="18"/>
          <w:szCs w:val="18"/>
        </w:rPr>
        <w:t xml:space="preserve">de la valeur de la nue-propriété </w:t>
      </w:r>
      <w:r w:rsidRPr="00AF54E1">
        <w:rPr>
          <w:sz w:val="18"/>
          <w:szCs w:val="18"/>
        </w:rPr>
        <w:t xml:space="preserve">selon le barème de l’article 669 </w:t>
      </w:r>
      <w:r w:rsidR="00237679">
        <w:rPr>
          <w:sz w:val="18"/>
          <w:szCs w:val="18"/>
        </w:rPr>
        <w:t xml:space="preserve">du </w:t>
      </w:r>
      <w:r w:rsidRPr="00AF54E1">
        <w:rPr>
          <w:sz w:val="18"/>
          <w:szCs w:val="18"/>
        </w:rPr>
        <w:t xml:space="preserve">CGI en fonction de l’âge de l’usufruitier </w:t>
      </w:r>
      <w:r w:rsidR="00AD3D58">
        <w:rPr>
          <w:sz w:val="18"/>
          <w:szCs w:val="18"/>
        </w:rPr>
        <w:t xml:space="preserve">au jour de la donation-partage transgénérationnelle </w:t>
      </w:r>
    </w:p>
  </w:footnote>
  <w:footnote w:id="10">
    <w:p w:rsidR="00D84CD3" w:rsidRPr="00AD39A1" w:rsidRDefault="00D84CD3" w:rsidP="00EF0208">
      <w:pPr>
        <w:pStyle w:val="Notedebasdepage"/>
        <w:jc w:val="both"/>
        <w:rPr>
          <w:color w:val="000000" w:themeColor="text1"/>
          <w:sz w:val="18"/>
          <w:szCs w:val="18"/>
        </w:rPr>
      </w:pPr>
      <w:r w:rsidRPr="00237679">
        <w:rPr>
          <w:rStyle w:val="Appelnotedebasdep"/>
          <w:color w:val="000000" w:themeColor="text1"/>
          <w:sz w:val="18"/>
          <w:szCs w:val="18"/>
        </w:rPr>
        <w:footnoteRef/>
      </w:r>
      <w:r w:rsidRPr="00237679">
        <w:rPr>
          <w:color w:val="000000" w:themeColor="text1"/>
          <w:sz w:val="18"/>
          <w:szCs w:val="18"/>
        </w:rPr>
        <w:t xml:space="preserve"> </w:t>
      </w:r>
      <w:r w:rsidR="00B5366D" w:rsidRPr="00237679">
        <w:rPr>
          <w:color w:val="000000" w:themeColor="text1"/>
          <w:sz w:val="18"/>
          <w:szCs w:val="18"/>
        </w:rPr>
        <w:t xml:space="preserve"> </w:t>
      </w:r>
      <w:r w:rsidR="00961C86">
        <w:rPr>
          <w:color w:val="000000" w:themeColor="text1"/>
          <w:sz w:val="18"/>
          <w:szCs w:val="18"/>
        </w:rPr>
        <w:t>I</w:t>
      </w:r>
      <w:r w:rsidR="00AF54E1" w:rsidRPr="00237679">
        <w:rPr>
          <w:color w:val="000000" w:themeColor="text1"/>
          <w:sz w:val="18"/>
          <w:szCs w:val="18"/>
        </w:rPr>
        <w:t xml:space="preserve">mposition de la réversion de l’usufruit </w:t>
      </w:r>
      <w:r w:rsidR="00901531">
        <w:rPr>
          <w:color w:val="000000" w:themeColor="text1"/>
          <w:sz w:val="18"/>
          <w:szCs w:val="18"/>
        </w:rPr>
        <w:t xml:space="preserve">à un enfant </w:t>
      </w:r>
      <w:r w:rsidR="00AF54E1" w:rsidRPr="00237679">
        <w:rPr>
          <w:color w:val="000000" w:themeColor="text1"/>
          <w:sz w:val="18"/>
          <w:szCs w:val="18"/>
        </w:rPr>
        <w:t xml:space="preserve">en </w:t>
      </w:r>
      <w:r w:rsidR="00AF54E1" w:rsidRPr="00AF54E1">
        <w:rPr>
          <w:sz w:val="18"/>
          <w:szCs w:val="18"/>
        </w:rPr>
        <w:t>fonction du lien de parenté existant entre l’ascendant donateur et le bénéficiaire de la réversion selon la valeur du bien lors de l’ouverture de l’usufruit successif</w:t>
      </w:r>
      <w:r w:rsidR="000B7BB4">
        <w:rPr>
          <w:sz w:val="18"/>
          <w:szCs w:val="18"/>
        </w:rPr>
        <w:t>. En revanche</w:t>
      </w:r>
      <w:r w:rsidR="00AD39A1" w:rsidRPr="00237679">
        <w:rPr>
          <w:color w:val="000000" w:themeColor="text1"/>
          <w:sz w:val="18"/>
          <w:szCs w:val="18"/>
        </w:rPr>
        <w:t xml:space="preserve"> la réversion </w:t>
      </w:r>
      <w:r w:rsidR="000B7BB4">
        <w:rPr>
          <w:color w:val="000000" w:themeColor="text1"/>
          <w:sz w:val="18"/>
          <w:szCs w:val="18"/>
        </w:rPr>
        <w:t xml:space="preserve">de l’usufruit au </w:t>
      </w:r>
      <w:r w:rsidR="007B604F">
        <w:rPr>
          <w:color w:val="000000" w:themeColor="text1"/>
          <w:sz w:val="18"/>
          <w:szCs w:val="18"/>
        </w:rPr>
        <w:t xml:space="preserve">conjoint survivant n’est </w:t>
      </w:r>
      <w:r w:rsidR="000B7BB4">
        <w:rPr>
          <w:color w:val="000000" w:themeColor="text1"/>
          <w:sz w:val="18"/>
          <w:szCs w:val="18"/>
        </w:rPr>
        <w:t xml:space="preserve">pas imposée, celui-ci </w:t>
      </w:r>
      <w:r w:rsidR="000B7BB4" w:rsidRPr="00237679">
        <w:rPr>
          <w:color w:val="000000" w:themeColor="text1"/>
          <w:sz w:val="18"/>
          <w:szCs w:val="18"/>
        </w:rPr>
        <w:t>étant exonéré de droits de succession</w:t>
      </w:r>
      <w:r w:rsidR="000B7BB4">
        <w:rPr>
          <w:sz w:val="18"/>
          <w:szCs w:val="18"/>
        </w:rPr>
        <w:t xml:space="preserve"> (Article 796-0 bis du CGI)</w:t>
      </w:r>
    </w:p>
  </w:footnote>
  <w:footnote w:id="11">
    <w:p w:rsidR="00B5366D" w:rsidRPr="00AF54E1" w:rsidRDefault="00B5366D" w:rsidP="00EF0208">
      <w:pPr>
        <w:pStyle w:val="Notedebasdepage"/>
        <w:jc w:val="both"/>
        <w:rPr>
          <w:sz w:val="18"/>
          <w:szCs w:val="18"/>
        </w:rPr>
      </w:pPr>
      <w:r w:rsidRPr="00AF54E1">
        <w:rPr>
          <w:rStyle w:val="Appelnotedebasdep"/>
          <w:sz w:val="18"/>
          <w:szCs w:val="18"/>
        </w:rPr>
        <w:footnoteRef/>
      </w:r>
      <w:r w:rsidRPr="00AF54E1">
        <w:rPr>
          <w:sz w:val="18"/>
          <w:szCs w:val="18"/>
        </w:rPr>
        <w:t xml:space="preserve"> </w:t>
      </w:r>
      <w:r w:rsidR="007B604F">
        <w:rPr>
          <w:sz w:val="18"/>
          <w:szCs w:val="18"/>
        </w:rPr>
        <w:t xml:space="preserve"> </w:t>
      </w:r>
      <w:r w:rsidRPr="00AF54E1">
        <w:rPr>
          <w:sz w:val="18"/>
          <w:szCs w:val="18"/>
        </w:rPr>
        <w:t xml:space="preserve">Article 1133 </w:t>
      </w:r>
      <w:r w:rsidR="00237679">
        <w:rPr>
          <w:sz w:val="18"/>
          <w:szCs w:val="18"/>
        </w:rPr>
        <w:t xml:space="preserve">du </w:t>
      </w:r>
      <w:r w:rsidRPr="00AF54E1">
        <w:rPr>
          <w:sz w:val="18"/>
          <w:szCs w:val="18"/>
        </w:rPr>
        <w:t xml:space="preserve">CGI </w:t>
      </w:r>
    </w:p>
  </w:footnote>
  <w:footnote w:id="12">
    <w:p w:rsidR="00AE078B" w:rsidRPr="00AF54E1" w:rsidRDefault="00AE078B" w:rsidP="00EF0208">
      <w:pPr>
        <w:pStyle w:val="Notedebasdepage"/>
        <w:jc w:val="both"/>
        <w:rPr>
          <w:sz w:val="18"/>
          <w:szCs w:val="18"/>
        </w:rPr>
      </w:pPr>
      <w:r w:rsidRPr="00AF54E1">
        <w:rPr>
          <w:rStyle w:val="Appelnotedebasdep"/>
          <w:sz w:val="18"/>
          <w:szCs w:val="18"/>
        </w:rPr>
        <w:footnoteRef/>
      </w:r>
      <w:r w:rsidR="007B604F">
        <w:rPr>
          <w:sz w:val="18"/>
          <w:szCs w:val="18"/>
        </w:rPr>
        <w:t xml:space="preserve"> </w:t>
      </w:r>
      <w:r w:rsidR="0017569C">
        <w:rPr>
          <w:sz w:val="18"/>
          <w:szCs w:val="18"/>
        </w:rPr>
        <w:t>Article</w:t>
      </w:r>
      <w:r w:rsidR="00EF0208">
        <w:rPr>
          <w:sz w:val="18"/>
          <w:szCs w:val="18"/>
        </w:rPr>
        <w:t>s</w:t>
      </w:r>
      <w:r w:rsidR="0017569C">
        <w:rPr>
          <w:sz w:val="18"/>
          <w:szCs w:val="18"/>
        </w:rPr>
        <w:t xml:space="preserve"> </w:t>
      </w:r>
      <w:r w:rsidR="0017569C" w:rsidRPr="00AF54E1">
        <w:rPr>
          <w:sz w:val="18"/>
          <w:szCs w:val="18"/>
        </w:rPr>
        <w:t xml:space="preserve">1078-1 </w:t>
      </w:r>
      <w:r w:rsidR="002405DF">
        <w:rPr>
          <w:sz w:val="18"/>
          <w:szCs w:val="18"/>
        </w:rPr>
        <w:t xml:space="preserve">à 1078-3 </w:t>
      </w:r>
      <w:r w:rsidR="0017569C">
        <w:rPr>
          <w:sz w:val="18"/>
          <w:szCs w:val="18"/>
        </w:rPr>
        <w:t xml:space="preserve">du </w:t>
      </w:r>
      <w:r w:rsidR="0017569C" w:rsidRPr="00AF54E1">
        <w:rPr>
          <w:sz w:val="18"/>
          <w:szCs w:val="18"/>
        </w:rPr>
        <w:t>code civil </w:t>
      </w:r>
      <w:r w:rsidR="0017569C">
        <w:rPr>
          <w:color w:val="000000" w:themeColor="text1"/>
          <w:sz w:val="18"/>
          <w:szCs w:val="18"/>
        </w:rPr>
        <w:t>sur renvoi de l’a</w:t>
      </w:r>
      <w:r w:rsidRPr="00237679">
        <w:rPr>
          <w:color w:val="000000" w:themeColor="text1"/>
          <w:sz w:val="18"/>
          <w:szCs w:val="18"/>
        </w:rPr>
        <w:t xml:space="preserve">rticle 1078-7 </w:t>
      </w:r>
      <w:r w:rsidR="00237679">
        <w:rPr>
          <w:color w:val="000000" w:themeColor="text1"/>
          <w:sz w:val="18"/>
          <w:szCs w:val="18"/>
        </w:rPr>
        <w:t xml:space="preserve">du </w:t>
      </w:r>
      <w:r w:rsidRPr="00237679">
        <w:rPr>
          <w:color w:val="000000" w:themeColor="text1"/>
          <w:sz w:val="18"/>
          <w:szCs w:val="18"/>
        </w:rPr>
        <w:t>code</w:t>
      </w:r>
      <w:r w:rsidR="0017569C">
        <w:rPr>
          <w:color w:val="000000" w:themeColor="text1"/>
          <w:sz w:val="18"/>
          <w:szCs w:val="18"/>
        </w:rPr>
        <w:t xml:space="preserve"> civil ;</w:t>
      </w:r>
      <w:r w:rsidRPr="00237679">
        <w:rPr>
          <w:color w:val="000000" w:themeColor="text1"/>
          <w:sz w:val="18"/>
          <w:szCs w:val="18"/>
        </w:rPr>
        <w:t xml:space="preserve"> </w:t>
      </w:r>
      <w:r w:rsidR="00EF0208">
        <w:rPr>
          <w:color w:val="000000" w:themeColor="text1"/>
          <w:sz w:val="18"/>
          <w:szCs w:val="18"/>
        </w:rPr>
        <w:t xml:space="preserve">Possibilité de réincorporer une </w:t>
      </w:r>
      <w:r w:rsidR="00E44803">
        <w:rPr>
          <w:color w:val="000000" w:themeColor="text1"/>
          <w:sz w:val="18"/>
          <w:szCs w:val="18"/>
        </w:rPr>
        <w:t xml:space="preserve">donation-partage antérieure </w:t>
      </w:r>
      <w:r w:rsidR="007B604F">
        <w:rPr>
          <w:color w:val="000000" w:themeColor="text1"/>
          <w:sz w:val="18"/>
          <w:szCs w:val="18"/>
        </w:rPr>
        <w:t>(</w:t>
      </w:r>
      <w:r w:rsidRPr="00237679">
        <w:rPr>
          <w:color w:val="000000" w:themeColor="text1"/>
          <w:sz w:val="18"/>
          <w:szCs w:val="18"/>
        </w:rPr>
        <w:t>RM n°115883</w:t>
      </w:r>
      <w:r w:rsidR="00237679">
        <w:rPr>
          <w:color w:val="000000" w:themeColor="text1"/>
          <w:sz w:val="18"/>
          <w:szCs w:val="18"/>
        </w:rPr>
        <w:t xml:space="preserve"> </w:t>
      </w:r>
      <w:r w:rsidR="005D3708" w:rsidRPr="00237679">
        <w:rPr>
          <w:color w:val="000000" w:themeColor="text1"/>
          <w:sz w:val="18"/>
          <w:szCs w:val="18"/>
        </w:rPr>
        <w:t xml:space="preserve">Mme </w:t>
      </w:r>
      <w:proofErr w:type="spellStart"/>
      <w:r w:rsidR="005D3708" w:rsidRPr="00237679">
        <w:rPr>
          <w:color w:val="000000" w:themeColor="text1"/>
          <w:sz w:val="18"/>
          <w:szCs w:val="18"/>
        </w:rPr>
        <w:t>Ceccaldi</w:t>
      </w:r>
      <w:proofErr w:type="spellEnd"/>
      <w:r w:rsidR="005D3708" w:rsidRPr="00237679">
        <w:rPr>
          <w:color w:val="000000" w:themeColor="text1"/>
          <w:sz w:val="18"/>
          <w:szCs w:val="18"/>
        </w:rPr>
        <w:t xml:space="preserve">-Raynaud  </w:t>
      </w:r>
      <w:r w:rsidR="00237679" w:rsidRPr="00237679">
        <w:rPr>
          <w:color w:val="000000" w:themeColor="text1"/>
          <w:sz w:val="18"/>
          <w:szCs w:val="18"/>
        </w:rPr>
        <w:t>du 8 novembre 2011</w:t>
      </w:r>
      <w:r w:rsidR="007B604F">
        <w:rPr>
          <w:color w:val="000000" w:themeColor="text1"/>
          <w:sz w:val="18"/>
          <w:szCs w:val="18"/>
        </w:rPr>
        <w:t>)</w:t>
      </w:r>
    </w:p>
  </w:footnote>
  <w:footnote w:id="13">
    <w:p w:rsidR="0017569C" w:rsidRDefault="0017569C" w:rsidP="001756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54E1">
        <w:rPr>
          <w:sz w:val="18"/>
          <w:szCs w:val="18"/>
        </w:rPr>
        <w:t xml:space="preserve">Article </w:t>
      </w:r>
      <w:r>
        <w:rPr>
          <w:sz w:val="18"/>
          <w:szCs w:val="18"/>
        </w:rPr>
        <w:t>1078 </w:t>
      </w:r>
      <w:r w:rsidR="00EF0208">
        <w:rPr>
          <w:sz w:val="18"/>
          <w:szCs w:val="18"/>
        </w:rPr>
        <w:t xml:space="preserve">du code civil </w:t>
      </w:r>
      <w:r>
        <w:rPr>
          <w:sz w:val="18"/>
          <w:szCs w:val="18"/>
        </w:rPr>
        <w:t>; BOI-ENR-DMTG-20-20-10n°170 et suivants</w:t>
      </w:r>
    </w:p>
  </w:footnote>
  <w:footnote w:id="14">
    <w:p w:rsidR="00345AC9" w:rsidRPr="00AF54E1" w:rsidRDefault="00345AC9" w:rsidP="00345AC9">
      <w:pPr>
        <w:pStyle w:val="Notedebasdepage"/>
        <w:rPr>
          <w:sz w:val="18"/>
          <w:szCs w:val="18"/>
        </w:rPr>
      </w:pPr>
      <w:r w:rsidRPr="00AF54E1">
        <w:rPr>
          <w:rStyle w:val="Appelnotedebasdep"/>
          <w:sz w:val="18"/>
          <w:szCs w:val="18"/>
        </w:rPr>
        <w:footnoteRef/>
      </w:r>
      <w:r w:rsidRPr="00AF54E1">
        <w:rPr>
          <w:sz w:val="18"/>
          <w:szCs w:val="18"/>
        </w:rPr>
        <w:t xml:space="preserve"> </w:t>
      </w:r>
      <w:r w:rsidR="00086882">
        <w:rPr>
          <w:sz w:val="18"/>
          <w:szCs w:val="18"/>
        </w:rPr>
        <w:t xml:space="preserve"> </w:t>
      </w:r>
      <w:r w:rsidRPr="00AF54E1">
        <w:rPr>
          <w:sz w:val="18"/>
          <w:szCs w:val="18"/>
        </w:rPr>
        <w:t>Article 776</w:t>
      </w:r>
      <w:r w:rsidR="00086882">
        <w:rPr>
          <w:sz w:val="18"/>
          <w:szCs w:val="18"/>
        </w:rPr>
        <w:t xml:space="preserve"> </w:t>
      </w:r>
      <w:r w:rsidRPr="00AF54E1">
        <w:rPr>
          <w:sz w:val="18"/>
          <w:szCs w:val="18"/>
        </w:rPr>
        <w:t xml:space="preserve">A </w:t>
      </w:r>
      <w:r w:rsidR="00237679">
        <w:rPr>
          <w:sz w:val="18"/>
          <w:szCs w:val="18"/>
        </w:rPr>
        <w:t xml:space="preserve">du </w:t>
      </w:r>
      <w:r w:rsidRPr="00AF54E1">
        <w:rPr>
          <w:sz w:val="18"/>
          <w:szCs w:val="18"/>
        </w:rPr>
        <w:t xml:space="preserve">CGI </w:t>
      </w:r>
    </w:p>
  </w:footnote>
  <w:footnote w:id="15">
    <w:p w:rsidR="007A3E60" w:rsidRDefault="007A3E60" w:rsidP="007A3E60">
      <w:pPr>
        <w:pStyle w:val="Notedebasdepage"/>
      </w:pPr>
      <w:r>
        <w:rPr>
          <w:rStyle w:val="Appelnotedebasdep"/>
        </w:rPr>
        <w:footnoteRef/>
      </w:r>
      <w:r w:rsidR="00086882">
        <w:t xml:space="preserve"> </w:t>
      </w:r>
      <w:r w:rsidRPr="00220D88">
        <w:rPr>
          <w:sz w:val="18"/>
          <w:szCs w:val="18"/>
        </w:rPr>
        <w:t>Article 787 B du CGI</w:t>
      </w:r>
      <w:r w:rsidR="00A11D28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28F1"/>
    <w:multiLevelType w:val="hybridMultilevel"/>
    <w:tmpl w:val="A6161AC4"/>
    <w:lvl w:ilvl="0" w:tplc="4B22B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CAE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1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6C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6D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2D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AD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21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0B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831072"/>
    <w:multiLevelType w:val="hybridMultilevel"/>
    <w:tmpl w:val="D7BE3124"/>
    <w:lvl w:ilvl="0" w:tplc="77D2369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3D3"/>
    <w:multiLevelType w:val="hybridMultilevel"/>
    <w:tmpl w:val="208AACA8"/>
    <w:lvl w:ilvl="0" w:tplc="1954E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E7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EE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A7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056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A07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CD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C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9E"/>
    <w:rsid w:val="00031458"/>
    <w:rsid w:val="00055422"/>
    <w:rsid w:val="00067CF4"/>
    <w:rsid w:val="00086107"/>
    <w:rsid w:val="00086882"/>
    <w:rsid w:val="00096B88"/>
    <w:rsid w:val="000B0C03"/>
    <w:rsid w:val="000B299E"/>
    <w:rsid w:val="000B67CA"/>
    <w:rsid w:val="000B7BB4"/>
    <w:rsid w:val="000C5D52"/>
    <w:rsid w:val="000D0C5B"/>
    <w:rsid w:val="000D168C"/>
    <w:rsid w:val="000F2FFD"/>
    <w:rsid w:val="000F482C"/>
    <w:rsid w:val="00104C55"/>
    <w:rsid w:val="00116128"/>
    <w:rsid w:val="0011644A"/>
    <w:rsid w:val="001179A5"/>
    <w:rsid w:val="001413C4"/>
    <w:rsid w:val="00145DCA"/>
    <w:rsid w:val="00166AFB"/>
    <w:rsid w:val="0017569C"/>
    <w:rsid w:val="001844D4"/>
    <w:rsid w:val="001844F9"/>
    <w:rsid w:val="00184CCD"/>
    <w:rsid w:val="00195764"/>
    <w:rsid w:val="001C5220"/>
    <w:rsid w:val="001C7986"/>
    <w:rsid w:val="001C7FB8"/>
    <w:rsid w:val="001D1E9D"/>
    <w:rsid w:val="001E087E"/>
    <w:rsid w:val="001E507B"/>
    <w:rsid w:val="0020168C"/>
    <w:rsid w:val="00204E79"/>
    <w:rsid w:val="00220D88"/>
    <w:rsid w:val="00237679"/>
    <w:rsid w:val="002405DF"/>
    <w:rsid w:val="00292191"/>
    <w:rsid w:val="002B38E7"/>
    <w:rsid w:val="002D5DEF"/>
    <w:rsid w:val="002E19FD"/>
    <w:rsid w:val="002F0DF5"/>
    <w:rsid w:val="003110EC"/>
    <w:rsid w:val="00345AC9"/>
    <w:rsid w:val="003506ED"/>
    <w:rsid w:val="0035644C"/>
    <w:rsid w:val="00366D53"/>
    <w:rsid w:val="00380FF3"/>
    <w:rsid w:val="00385B29"/>
    <w:rsid w:val="00390F64"/>
    <w:rsid w:val="003913E8"/>
    <w:rsid w:val="00393297"/>
    <w:rsid w:val="00393DB0"/>
    <w:rsid w:val="003C084F"/>
    <w:rsid w:val="003D080C"/>
    <w:rsid w:val="003E0343"/>
    <w:rsid w:val="00412877"/>
    <w:rsid w:val="00433152"/>
    <w:rsid w:val="00467799"/>
    <w:rsid w:val="004701D0"/>
    <w:rsid w:val="00473058"/>
    <w:rsid w:val="0048248D"/>
    <w:rsid w:val="004A502C"/>
    <w:rsid w:val="004B0248"/>
    <w:rsid w:val="004B2F11"/>
    <w:rsid w:val="004B6DAE"/>
    <w:rsid w:val="00514E99"/>
    <w:rsid w:val="00517263"/>
    <w:rsid w:val="00530FFC"/>
    <w:rsid w:val="005323C8"/>
    <w:rsid w:val="00552A66"/>
    <w:rsid w:val="00554C59"/>
    <w:rsid w:val="00573FBE"/>
    <w:rsid w:val="00580011"/>
    <w:rsid w:val="005814FB"/>
    <w:rsid w:val="005956F9"/>
    <w:rsid w:val="005B2C63"/>
    <w:rsid w:val="005C1C75"/>
    <w:rsid w:val="005D3708"/>
    <w:rsid w:val="0060313A"/>
    <w:rsid w:val="006043F0"/>
    <w:rsid w:val="00611030"/>
    <w:rsid w:val="00615BC4"/>
    <w:rsid w:val="00622A3F"/>
    <w:rsid w:val="00631E9D"/>
    <w:rsid w:val="0064367A"/>
    <w:rsid w:val="006814BC"/>
    <w:rsid w:val="0068296C"/>
    <w:rsid w:val="006B1EDC"/>
    <w:rsid w:val="006C11CC"/>
    <w:rsid w:val="006C63AB"/>
    <w:rsid w:val="006D6F83"/>
    <w:rsid w:val="006D74FF"/>
    <w:rsid w:val="006F39AA"/>
    <w:rsid w:val="00720C3A"/>
    <w:rsid w:val="00723282"/>
    <w:rsid w:val="00726838"/>
    <w:rsid w:val="0074795E"/>
    <w:rsid w:val="0076591F"/>
    <w:rsid w:val="0077396C"/>
    <w:rsid w:val="00781228"/>
    <w:rsid w:val="00790B5A"/>
    <w:rsid w:val="007A25F7"/>
    <w:rsid w:val="007A3E60"/>
    <w:rsid w:val="007B604F"/>
    <w:rsid w:val="007C67BB"/>
    <w:rsid w:val="007D7E82"/>
    <w:rsid w:val="007E6CDB"/>
    <w:rsid w:val="0080084B"/>
    <w:rsid w:val="00804174"/>
    <w:rsid w:val="00855AAB"/>
    <w:rsid w:val="00870F93"/>
    <w:rsid w:val="00901531"/>
    <w:rsid w:val="00915428"/>
    <w:rsid w:val="00921B66"/>
    <w:rsid w:val="009237F5"/>
    <w:rsid w:val="00941767"/>
    <w:rsid w:val="00943E78"/>
    <w:rsid w:val="00951CA5"/>
    <w:rsid w:val="00954FC0"/>
    <w:rsid w:val="00961C86"/>
    <w:rsid w:val="009639B7"/>
    <w:rsid w:val="00982C3E"/>
    <w:rsid w:val="009A15DA"/>
    <w:rsid w:val="009A6E2C"/>
    <w:rsid w:val="009B5F5E"/>
    <w:rsid w:val="009C2F4F"/>
    <w:rsid w:val="009C63AA"/>
    <w:rsid w:val="009C7798"/>
    <w:rsid w:val="009E4A6E"/>
    <w:rsid w:val="009F65BF"/>
    <w:rsid w:val="00A10951"/>
    <w:rsid w:val="00A11D28"/>
    <w:rsid w:val="00A12439"/>
    <w:rsid w:val="00A17803"/>
    <w:rsid w:val="00A20E05"/>
    <w:rsid w:val="00A46B7D"/>
    <w:rsid w:val="00A52BA6"/>
    <w:rsid w:val="00A64226"/>
    <w:rsid w:val="00A859C7"/>
    <w:rsid w:val="00AB0B5D"/>
    <w:rsid w:val="00AB2D7A"/>
    <w:rsid w:val="00AC605E"/>
    <w:rsid w:val="00AD39A1"/>
    <w:rsid w:val="00AD3D58"/>
    <w:rsid w:val="00AE078B"/>
    <w:rsid w:val="00AE6A13"/>
    <w:rsid w:val="00AF1378"/>
    <w:rsid w:val="00AF54E1"/>
    <w:rsid w:val="00AF700B"/>
    <w:rsid w:val="00B5366D"/>
    <w:rsid w:val="00B5534E"/>
    <w:rsid w:val="00B55C05"/>
    <w:rsid w:val="00B66034"/>
    <w:rsid w:val="00B74921"/>
    <w:rsid w:val="00B917D8"/>
    <w:rsid w:val="00B9527E"/>
    <w:rsid w:val="00B965CF"/>
    <w:rsid w:val="00BC6433"/>
    <w:rsid w:val="00BD15F0"/>
    <w:rsid w:val="00BF1428"/>
    <w:rsid w:val="00BF6FB0"/>
    <w:rsid w:val="00C00424"/>
    <w:rsid w:val="00C03E2F"/>
    <w:rsid w:val="00C07051"/>
    <w:rsid w:val="00C1561E"/>
    <w:rsid w:val="00C40EB2"/>
    <w:rsid w:val="00C67C88"/>
    <w:rsid w:val="00C7199A"/>
    <w:rsid w:val="00C80DD0"/>
    <w:rsid w:val="00C94207"/>
    <w:rsid w:val="00CA3FF8"/>
    <w:rsid w:val="00CC63F3"/>
    <w:rsid w:val="00CD7181"/>
    <w:rsid w:val="00CF01EC"/>
    <w:rsid w:val="00D02E27"/>
    <w:rsid w:val="00D03D55"/>
    <w:rsid w:val="00D07942"/>
    <w:rsid w:val="00D15B6B"/>
    <w:rsid w:val="00D279C7"/>
    <w:rsid w:val="00D55AD9"/>
    <w:rsid w:val="00D70A10"/>
    <w:rsid w:val="00D84CD3"/>
    <w:rsid w:val="00D8610A"/>
    <w:rsid w:val="00D86A79"/>
    <w:rsid w:val="00DA2FAE"/>
    <w:rsid w:val="00DA40B6"/>
    <w:rsid w:val="00E07800"/>
    <w:rsid w:val="00E155CB"/>
    <w:rsid w:val="00E16356"/>
    <w:rsid w:val="00E22527"/>
    <w:rsid w:val="00E44803"/>
    <w:rsid w:val="00E600CE"/>
    <w:rsid w:val="00E60A6B"/>
    <w:rsid w:val="00E73B79"/>
    <w:rsid w:val="00E8431C"/>
    <w:rsid w:val="00E97157"/>
    <w:rsid w:val="00EB25C5"/>
    <w:rsid w:val="00EB6D17"/>
    <w:rsid w:val="00EF0208"/>
    <w:rsid w:val="00EF5A97"/>
    <w:rsid w:val="00F235A2"/>
    <w:rsid w:val="00F44D5D"/>
    <w:rsid w:val="00F5674E"/>
    <w:rsid w:val="00F56E92"/>
    <w:rsid w:val="00F67F21"/>
    <w:rsid w:val="00F86FF2"/>
    <w:rsid w:val="00F8799A"/>
    <w:rsid w:val="00FA2E9B"/>
    <w:rsid w:val="00FB3E23"/>
    <w:rsid w:val="00FE0EBA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B02A1-21FF-48CA-9995-8F83229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F67F2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7F2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7F2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F67F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7F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7F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BA6"/>
  </w:style>
  <w:style w:type="paragraph" w:styleId="Pieddepage">
    <w:name w:val="footer"/>
    <w:basedOn w:val="Normal"/>
    <w:link w:val="PieddepageCar"/>
    <w:uiPriority w:val="99"/>
    <w:unhideWhenUsed/>
    <w:rsid w:val="00A5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502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440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21D8-77E7-492F-B7C6-C7A0357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6043</Characters>
  <Application>Microsoft Office Word</Application>
  <DocSecurity>0</DocSecurity>
  <Lines>137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LCL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CHARRIAUT Stephanie (LCL)</dc:creator>
  <cp:lastModifiedBy>Jean-François TARDIVEAU</cp:lastModifiedBy>
  <cp:revision>3</cp:revision>
  <cp:lastPrinted>2016-12-13T15:51:00Z</cp:lastPrinted>
  <dcterms:created xsi:type="dcterms:W3CDTF">2017-04-12T12:05:00Z</dcterms:created>
  <dcterms:modified xsi:type="dcterms:W3CDTF">2017-04-12T12:06:00Z</dcterms:modified>
</cp:coreProperties>
</file>